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武汉市普仁医院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湖北省中西医结合医院的论文被撤稿，因流式细胞术图与无关论文图像重复，且作者提供的证据不足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14:48:58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TUG1 relieves renal mesangial cell injury by modulating the miR-153-3p/Bcl-2 axis in lupus nephritis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期刊：Immunity Inflammation and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武汉市普仁医院&amp;湖北省中西医结合医院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发表时间：2023年4月12日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10.1002/iid3.811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图6B中展示的LPS+miR-153-3p抑制剂流式细胞术图在另一篇由不同作者团队撰写、代表不同科学条件的文章中被发现存在重复。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836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32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46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1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2023, doi: 10.1002/iid3.814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）流式细胞术图重复。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43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上述文章于2023年4月12日在Wiley在线图书馆（wileyonlinelibrary.com）在线发表，现已由期刊主编Marc Veldhoen与John Wiley &amp; Sons有限公司协商一致后撤回。此次撤回是在对第三方提出的质疑进行调查后达成的。调查发现，图6B中展示的LPS+miR-153-3p抑制剂流式细胞术图在另一篇由不同作者团队撰写、代表不同科学条件的文章中被发现存在重复。作者提供了解释和部分数据，但这被认为不足以说明问题。编辑团队对所呈现的数据失去了信心，并认为结论受到了影响。作者不同意此次撤回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https://onlinelibrary.wiley.com/doi/10.1002/iid3.70193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10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78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41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642&amp;idx=2&amp;sn=031c015bd9d6c34ecd55dc28a7823a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