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中山大学附属一院</w:t>
        </w:r>
        <w:r>
          <w:rPr>
            <w:rStyle w:val="a"/>
            <w:rFonts w:ascii="Times New Roman" w:eastAsia="Times New Roman" w:hAnsi="Times New Roman" w:cs="Times New Roman"/>
            <w:b w:val="0"/>
            <w:bCs w:val="0"/>
            <w:spacing w:val="8"/>
          </w:rPr>
          <w:t>Bioscience Reports</w:t>
        </w:r>
        <w:r>
          <w:rPr>
            <w:rStyle w:val="a"/>
            <w:rFonts w:ascii="PMingLiU" w:eastAsia="PMingLiU" w:hAnsi="PMingLiU" w:cs="PMingLiU"/>
            <w:b w:val="0"/>
            <w:bCs w:val="0"/>
            <w:spacing w:val="8"/>
          </w:rPr>
          <w:t>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2025-04-05 14:40:49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9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03901" name=""/>
                    <pic:cNvPicPr>
                      <a:picLocks noChangeAspect="1"/>
                    </pic:cNvPicPr>
                  </pic:nvPicPr>
                  <pic:blipFill>
                    <a:blip xmlns:r="http://schemas.openxmlformats.org/officeDocument/2006/relationships" r:embed="rId6"/>
                    <a:stretch>
                      <a:fillRect/>
                    </a:stretch>
                  </pic:blipFill>
                  <pic:spPr>
                    <a:xfrm>
                      <a:off x="0" y="0"/>
                      <a:ext cx="5486400" cy="2829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Activation of M1 macrophages plays a critical role in the initiation of acute lung injury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Bioscience Reports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中山大学附属第一医院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2018年4月27日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10.1042/bsr20171555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1A1A"/>
          <w:spacing w:val="0"/>
        </w:rPr>
        <w:t>The goal of the present study was to investigate the role of M1 macrophages in acute lung injury (ALI). To address this, we used lipopolysaccharide (LPS)-treated wild-type and CD11b-DTR mice, and examined their M1 macrophage levels, and the extent of their inflammation and pulmonary injuries. In addition, we evaluated pulmonary function by measuring the expressions of SP-A and SP-B in infiltrated M1 macrophages. Finally, we co-cultured the mouse type II-like alveolar epithelial cells (AT-II) and mouse pulmonary microvascular endothelial cells (PMECs) with M1 macrophages in the presence of TNF-α or H</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O</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 and assessed them for viability and apoptosis. After LPS treatment, we observed that the number of pulmonary M1/M2 macrophages and the serum levels of interleukin-1β (IL-1β), tumor necrosis factor α (TNF-α), and reactive oxygen species (ROS) significantly increased. Furthermore, the increase in cytokines was accompanied with the initiation of lung injury indicated by the decreased levels of SP-A and SP-B. In macrophage-depleted CD11b-DTR mice, ALI was attenuated, serum levels of IL-1β, TNF-α and ROS were reduced, and lung levels of monocyte chemoattractant protein-1 (MCP-1) and macrophage inflammatory protein-2 (MIP-2) were decreased. After administering TNF-α and H</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O</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 the proapoptotic effect of M1 macrophages on AT-II or PMECs significantly increased, the cell viabilities significantly decreased, and apoptosis significantly increased. Our results suggest that M1 macrophages are recruited to the lungs where they significantly contribute to an increase in TNF-α and ROS production, thus initiating ALI.</w:t>
      </w:r>
      <w:r>
        <w:rPr>
          <w:rStyle w:val="any"/>
          <w:rFonts w:ascii="Arial" w:eastAsia="Arial" w:hAnsi="Arial" w:cs="Arial"/>
          <w:b w:val="0"/>
          <w:bCs w:val="0"/>
          <w:i w:val="0"/>
          <w:iCs w:val="0"/>
          <w:caps w:val="0"/>
          <w:color w:val="1A1A1A"/>
          <w:spacing w:val="0"/>
        </w:rPr>
        <w:br/>
      </w:r>
      <w:r>
        <w:rPr>
          <w:rStyle w:val="any"/>
          <w:rFonts w:ascii="PMingLiU" w:eastAsia="PMingLiU" w:hAnsi="PMingLiU" w:cs="PMingLiU"/>
          <w:b w:val="0"/>
          <w:bCs w:val="0"/>
          <w:i w:val="0"/>
          <w:iCs w:val="0"/>
          <w:caps w:val="0"/>
          <w:color w:val="1A1A1A"/>
          <w:spacing w:val="0"/>
          <w:lang w:val="zh-CN" w:eastAsia="zh-CN"/>
        </w:rPr>
        <w:t>本研究旨在探讨</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巨噬细胞在急性肺损伤（</w:t>
      </w:r>
      <w:r>
        <w:rPr>
          <w:rStyle w:val="any"/>
          <w:rFonts w:ascii="Arial" w:eastAsia="Arial" w:hAnsi="Arial" w:cs="Arial"/>
          <w:b w:val="0"/>
          <w:bCs w:val="0"/>
          <w:i w:val="0"/>
          <w:iCs w:val="0"/>
          <w:caps w:val="0"/>
          <w:color w:val="1A1A1A"/>
          <w:spacing w:val="0"/>
          <w:lang w:val="zh-CN" w:eastAsia="zh-CN"/>
        </w:rPr>
        <w:t>ALI</w:t>
      </w:r>
      <w:r>
        <w:rPr>
          <w:rStyle w:val="any"/>
          <w:rFonts w:ascii="PMingLiU" w:eastAsia="PMingLiU" w:hAnsi="PMingLiU" w:cs="PMingLiU"/>
          <w:b w:val="0"/>
          <w:bCs w:val="0"/>
          <w:i w:val="0"/>
          <w:iCs w:val="0"/>
          <w:caps w:val="0"/>
          <w:color w:val="1A1A1A"/>
          <w:spacing w:val="0"/>
          <w:lang w:val="zh-CN" w:eastAsia="zh-CN"/>
        </w:rPr>
        <w:t>）中的作用。为此，我们使用了脂多糖（</w:t>
      </w:r>
      <w:r>
        <w:rPr>
          <w:rStyle w:val="any"/>
          <w:rFonts w:ascii="Arial" w:eastAsia="Arial" w:hAnsi="Arial" w:cs="Arial"/>
          <w:b w:val="0"/>
          <w:bCs w:val="0"/>
          <w:i w:val="0"/>
          <w:iCs w:val="0"/>
          <w:caps w:val="0"/>
          <w:color w:val="1A1A1A"/>
          <w:spacing w:val="0"/>
          <w:lang w:val="zh-CN" w:eastAsia="zh-CN"/>
        </w:rPr>
        <w:t>LPS</w:t>
      </w:r>
      <w:r>
        <w:rPr>
          <w:rStyle w:val="any"/>
          <w:rFonts w:ascii="PMingLiU" w:eastAsia="PMingLiU" w:hAnsi="PMingLiU" w:cs="PMingLiU"/>
          <w:b w:val="0"/>
          <w:bCs w:val="0"/>
          <w:i w:val="0"/>
          <w:iCs w:val="0"/>
          <w:caps w:val="0"/>
          <w:color w:val="1A1A1A"/>
          <w:spacing w:val="0"/>
          <w:lang w:val="zh-CN" w:eastAsia="zh-CN"/>
        </w:rPr>
        <w:t>）处理的野生型和</w:t>
      </w:r>
      <w:r>
        <w:rPr>
          <w:rStyle w:val="any"/>
          <w:rFonts w:ascii="Arial" w:eastAsia="Arial" w:hAnsi="Arial" w:cs="Arial"/>
          <w:b w:val="0"/>
          <w:bCs w:val="0"/>
          <w:i w:val="0"/>
          <w:iCs w:val="0"/>
          <w:caps w:val="0"/>
          <w:color w:val="1A1A1A"/>
          <w:spacing w:val="0"/>
          <w:lang w:val="zh-CN" w:eastAsia="zh-CN"/>
        </w:rPr>
        <w:t xml:space="preserve"> CD11b-DTR </w:t>
      </w:r>
      <w:r>
        <w:rPr>
          <w:rStyle w:val="any"/>
          <w:rFonts w:ascii="PMingLiU" w:eastAsia="PMingLiU" w:hAnsi="PMingLiU" w:cs="PMingLiU"/>
          <w:b w:val="0"/>
          <w:bCs w:val="0"/>
          <w:i w:val="0"/>
          <w:iCs w:val="0"/>
          <w:caps w:val="0"/>
          <w:color w:val="1A1A1A"/>
          <w:spacing w:val="0"/>
          <w:lang w:val="zh-CN" w:eastAsia="zh-CN"/>
        </w:rPr>
        <w:t>小鼠，检测了它们的</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巨噬细胞水平以及炎症和肺损伤的程度。此外，我们还通过测量浸润</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巨噬细胞中</w:t>
      </w:r>
      <w:r>
        <w:rPr>
          <w:rStyle w:val="any"/>
          <w:rFonts w:ascii="Arial" w:eastAsia="Arial" w:hAnsi="Arial" w:cs="Arial"/>
          <w:b w:val="0"/>
          <w:bCs w:val="0"/>
          <w:i w:val="0"/>
          <w:iCs w:val="0"/>
          <w:caps w:val="0"/>
          <w:color w:val="1A1A1A"/>
          <w:spacing w:val="0"/>
          <w:lang w:val="zh-CN" w:eastAsia="zh-CN"/>
        </w:rPr>
        <w:t xml:space="preserve"> SP-A </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SP-B </w:t>
      </w:r>
      <w:r>
        <w:rPr>
          <w:rStyle w:val="any"/>
          <w:rFonts w:ascii="PMingLiU" w:eastAsia="PMingLiU" w:hAnsi="PMingLiU" w:cs="PMingLiU"/>
          <w:b w:val="0"/>
          <w:bCs w:val="0"/>
          <w:i w:val="0"/>
          <w:iCs w:val="0"/>
          <w:caps w:val="0"/>
          <w:color w:val="1A1A1A"/>
          <w:spacing w:val="0"/>
          <w:lang w:val="zh-CN" w:eastAsia="zh-CN"/>
        </w:rPr>
        <w:t>的表达来评估肺功能。最后，我们在</w:t>
      </w:r>
      <w:r>
        <w:rPr>
          <w:rStyle w:val="any"/>
          <w:rFonts w:ascii="Arial" w:eastAsia="Arial" w:hAnsi="Arial" w:cs="Arial"/>
          <w:b w:val="0"/>
          <w:bCs w:val="0"/>
          <w:i w:val="0"/>
          <w:iCs w:val="0"/>
          <w:caps w:val="0"/>
          <w:color w:val="1A1A1A"/>
          <w:spacing w:val="0"/>
          <w:lang w:val="zh-CN" w:eastAsia="zh-CN"/>
        </w:rPr>
        <w:t xml:space="preserve"> TNF-α</w:t>
      </w:r>
      <w:r>
        <w:rPr>
          <w:rStyle w:val="any"/>
          <w:rFonts w:ascii="PMingLiU" w:eastAsia="PMingLiU" w:hAnsi="PMingLiU" w:cs="PMingLiU"/>
          <w:b w:val="0"/>
          <w:bCs w:val="0"/>
          <w:i w:val="0"/>
          <w:iCs w:val="0"/>
          <w:caps w:val="0"/>
          <w:color w:val="1A1A1A"/>
          <w:spacing w:val="0"/>
          <w:lang w:val="zh-CN" w:eastAsia="zh-CN"/>
        </w:rPr>
        <w:t>或</w:t>
      </w:r>
      <w:r>
        <w:rPr>
          <w:rStyle w:val="any"/>
          <w:rFonts w:ascii="Arial" w:eastAsia="Arial" w:hAnsi="Arial" w:cs="Arial"/>
          <w:b w:val="0"/>
          <w:bCs w:val="0"/>
          <w:i w:val="0"/>
          <w:iCs w:val="0"/>
          <w:caps w:val="0"/>
          <w:color w:val="1A1A1A"/>
          <w:spacing w:val="0"/>
          <w:lang w:val="zh-CN" w:eastAsia="zh-CN"/>
        </w:rPr>
        <w:t xml:space="preserve"> H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O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w:t>
      </w:r>
      <w:r>
        <w:rPr>
          <w:rStyle w:val="any"/>
          <w:rFonts w:ascii="PMingLiU" w:eastAsia="PMingLiU" w:hAnsi="PMingLiU" w:cs="PMingLiU"/>
          <w:b w:val="0"/>
          <w:bCs w:val="0"/>
          <w:i w:val="0"/>
          <w:iCs w:val="0"/>
          <w:caps w:val="0"/>
          <w:color w:val="1A1A1A"/>
          <w:spacing w:val="0"/>
          <w:lang w:val="zh-CN" w:eastAsia="zh-CN"/>
        </w:rPr>
        <w:t>的存在下，将小鼠</w:t>
      </w:r>
      <w:r>
        <w:rPr>
          <w:rStyle w:val="any"/>
          <w:rFonts w:ascii="Arial" w:eastAsia="Arial" w:hAnsi="Arial" w:cs="Arial"/>
          <w:b w:val="0"/>
          <w:bCs w:val="0"/>
          <w:i w:val="0"/>
          <w:iCs w:val="0"/>
          <w:caps w:val="0"/>
          <w:color w:val="1A1A1A"/>
          <w:spacing w:val="0"/>
          <w:lang w:val="zh-CN" w:eastAsia="zh-CN"/>
        </w:rPr>
        <w:t xml:space="preserve"> II </w:t>
      </w:r>
      <w:r>
        <w:rPr>
          <w:rStyle w:val="any"/>
          <w:rFonts w:ascii="PMingLiU" w:eastAsia="PMingLiU" w:hAnsi="PMingLiU" w:cs="PMingLiU"/>
          <w:b w:val="0"/>
          <w:bCs w:val="0"/>
          <w:i w:val="0"/>
          <w:iCs w:val="0"/>
          <w:caps w:val="0"/>
          <w:color w:val="1A1A1A"/>
          <w:spacing w:val="0"/>
          <w:lang w:val="zh-CN" w:eastAsia="zh-CN"/>
        </w:rPr>
        <w:t>型肺泡上皮细胞（</w:t>
      </w:r>
      <w:r>
        <w:rPr>
          <w:rStyle w:val="any"/>
          <w:rFonts w:ascii="Arial" w:eastAsia="Arial" w:hAnsi="Arial" w:cs="Arial"/>
          <w:b w:val="0"/>
          <w:bCs w:val="0"/>
          <w:i w:val="0"/>
          <w:iCs w:val="0"/>
          <w:caps w:val="0"/>
          <w:color w:val="1A1A1A"/>
          <w:spacing w:val="0"/>
          <w:lang w:val="zh-CN" w:eastAsia="zh-CN"/>
        </w:rPr>
        <w:t>AT-II</w:t>
      </w:r>
      <w:r>
        <w:rPr>
          <w:rStyle w:val="any"/>
          <w:rFonts w:ascii="PMingLiU" w:eastAsia="PMingLiU" w:hAnsi="PMingLiU" w:cs="PMingLiU"/>
          <w:b w:val="0"/>
          <w:bCs w:val="0"/>
          <w:i w:val="0"/>
          <w:iCs w:val="0"/>
          <w:caps w:val="0"/>
          <w:color w:val="1A1A1A"/>
          <w:spacing w:val="0"/>
          <w:lang w:val="zh-CN" w:eastAsia="zh-CN"/>
        </w:rPr>
        <w:t>）和小鼠肺微血管内皮细胞（</w:t>
      </w:r>
      <w:r>
        <w:rPr>
          <w:rStyle w:val="any"/>
          <w:rFonts w:ascii="Arial" w:eastAsia="Arial" w:hAnsi="Arial" w:cs="Arial"/>
          <w:b w:val="0"/>
          <w:bCs w:val="0"/>
          <w:i w:val="0"/>
          <w:iCs w:val="0"/>
          <w:caps w:val="0"/>
          <w:color w:val="1A1A1A"/>
          <w:spacing w:val="0"/>
          <w:lang w:val="zh-CN" w:eastAsia="zh-CN"/>
        </w:rPr>
        <w:t>PMECs</w:t>
      </w:r>
      <w:r>
        <w:rPr>
          <w:rStyle w:val="any"/>
          <w:rFonts w:ascii="PMingLiU" w:eastAsia="PMingLiU" w:hAnsi="PMingLiU" w:cs="PMingLiU"/>
          <w:b w:val="0"/>
          <w:bCs w:val="0"/>
          <w:i w:val="0"/>
          <w:iCs w:val="0"/>
          <w:caps w:val="0"/>
          <w:color w:val="1A1A1A"/>
          <w:spacing w:val="0"/>
          <w:lang w:val="zh-CN" w:eastAsia="zh-CN"/>
        </w:rPr>
        <w:t>）与</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巨噬细胞共培养，并评估了它们的存活率和细胞凋亡。</w:t>
      </w:r>
      <w:r>
        <w:rPr>
          <w:rStyle w:val="any"/>
          <w:rFonts w:ascii="Arial" w:eastAsia="Arial" w:hAnsi="Arial" w:cs="Arial"/>
          <w:b w:val="0"/>
          <w:bCs w:val="0"/>
          <w:i w:val="0"/>
          <w:iCs w:val="0"/>
          <w:caps w:val="0"/>
          <w:color w:val="1A1A1A"/>
          <w:spacing w:val="0"/>
          <w:lang w:val="zh-CN" w:eastAsia="zh-CN"/>
        </w:rPr>
        <w:t xml:space="preserve">LPS </w:t>
      </w:r>
      <w:r>
        <w:rPr>
          <w:rStyle w:val="any"/>
          <w:rFonts w:ascii="PMingLiU" w:eastAsia="PMingLiU" w:hAnsi="PMingLiU" w:cs="PMingLiU"/>
          <w:b w:val="0"/>
          <w:bCs w:val="0"/>
          <w:i w:val="0"/>
          <w:iCs w:val="0"/>
          <w:caps w:val="0"/>
          <w:color w:val="1A1A1A"/>
          <w:spacing w:val="0"/>
          <w:lang w:val="zh-CN" w:eastAsia="zh-CN"/>
        </w:rPr>
        <w:t>处理后，我们观察到肺部的</w:t>
      </w:r>
      <w:r>
        <w:rPr>
          <w:rStyle w:val="any"/>
          <w:rFonts w:ascii="Arial" w:eastAsia="Arial" w:hAnsi="Arial" w:cs="Arial"/>
          <w:b w:val="0"/>
          <w:bCs w:val="0"/>
          <w:i w:val="0"/>
          <w:iCs w:val="0"/>
          <w:caps w:val="0"/>
          <w:color w:val="1A1A1A"/>
          <w:spacing w:val="0"/>
          <w:lang w:val="zh-CN" w:eastAsia="zh-CN"/>
        </w:rPr>
        <w:t xml:space="preserve"> M1/M2 </w:t>
      </w:r>
      <w:r>
        <w:rPr>
          <w:rStyle w:val="any"/>
          <w:rFonts w:ascii="PMingLiU" w:eastAsia="PMingLiU" w:hAnsi="PMingLiU" w:cs="PMingLiU"/>
          <w:b w:val="0"/>
          <w:bCs w:val="0"/>
          <w:i w:val="0"/>
          <w:iCs w:val="0"/>
          <w:caps w:val="0"/>
          <w:color w:val="1A1A1A"/>
          <w:spacing w:val="0"/>
          <w:lang w:val="zh-CN" w:eastAsia="zh-CN"/>
        </w:rPr>
        <w:t>巨噬细胞数量和血清中白细胞介素</w:t>
      </w:r>
      <w:r>
        <w:rPr>
          <w:rStyle w:val="any"/>
          <w:rFonts w:ascii="Arial" w:eastAsia="Arial" w:hAnsi="Arial" w:cs="Arial"/>
          <w:b w:val="0"/>
          <w:bCs w:val="0"/>
          <w:i w:val="0"/>
          <w:iCs w:val="0"/>
          <w:caps w:val="0"/>
          <w:color w:val="1A1A1A"/>
          <w:spacing w:val="0"/>
          <w:lang w:val="zh-CN" w:eastAsia="zh-CN"/>
        </w:rPr>
        <w:t>-1β</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IL-1β</w:t>
      </w:r>
      <w:r>
        <w:rPr>
          <w:rStyle w:val="any"/>
          <w:rFonts w:ascii="PMingLiU" w:eastAsia="PMingLiU" w:hAnsi="PMingLiU" w:cs="PMingLiU"/>
          <w:b w:val="0"/>
          <w:bCs w:val="0"/>
          <w:i w:val="0"/>
          <w:iCs w:val="0"/>
          <w:caps w:val="0"/>
          <w:color w:val="1A1A1A"/>
          <w:spacing w:val="0"/>
          <w:lang w:val="zh-CN" w:eastAsia="zh-CN"/>
        </w:rPr>
        <w:t>）、肿瘤坏死因子</w:t>
      </w:r>
      <w:r>
        <w:rPr>
          <w:rStyle w:val="any"/>
          <w:rFonts w:ascii="Arial" w:eastAsia="Arial" w:hAnsi="Arial" w:cs="Arial"/>
          <w:b w:val="0"/>
          <w:bCs w:val="0"/>
          <w:i w:val="0"/>
          <w:iCs w:val="0"/>
          <w:caps w:val="0"/>
          <w:color w:val="1A1A1A"/>
          <w:spacing w:val="0"/>
          <w:lang w:val="zh-CN" w:eastAsia="zh-CN"/>
        </w:rPr>
        <w:t>α</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TNF-α</w:t>
      </w:r>
      <w:r>
        <w:rPr>
          <w:rStyle w:val="any"/>
          <w:rFonts w:ascii="PMingLiU" w:eastAsia="PMingLiU" w:hAnsi="PMingLiU" w:cs="PMingLiU"/>
          <w:b w:val="0"/>
          <w:bCs w:val="0"/>
          <w:i w:val="0"/>
          <w:iCs w:val="0"/>
          <w:caps w:val="0"/>
          <w:color w:val="1A1A1A"/>
          <w:spacing w:val="0"/>
          <w:lang w:val="zh-CN" w:eastAsia="zh-CN"/>
        </w:rPr>
        <w:t>）和活性氧（</w:t>
      </w:r>
      <w:r>
        <w:rPr>
          <w:rStyle w:val="any"/>
          <w:rFonts w:ascii="Arial" w:eastAsia="Arial" w:hAnsi="Arial" w:cs="Arial"/>
          <w:b w:val="0"/>
          <w:bCs w:val="0"/>
          <w:i w:val="0"/>
          <w:iCs w:val="0"/>
          <w:caps w:val="0"/>
          <w:color w:val="1A1A1A"/>
          <w:spacing w:val="0"/>
          <w:lang w:val="zh-CN" w:eastAsia="zh-CN"/>
        </w:rPr>
        <w:t>ROS</w:t>
      </w:r>
      <w:r>
        <w:rPr>
          <w:rStyle w:val="any"/>
          <w:rFonts w:ascii="PMingLiU" w:eastAsia="PMingLiU" w:hAnsi="PMingLiU" w:cs="PMingLiU"/>
          <w:b w:val="0"/>
          <w:bCs w:val="0"/>
          <w:i w:val="0"/>
          <w:iCs w:val="0"/>
          <w:caps w:val="0"/>
          <w:color w:val="1A1A1A"/>
          <w:spacing w:val="0"/>
          <w:lang w:val="zh-CN" w:eastAsia="zh-CN"/>
        </w:rPr>
        <w:t>）的水平显著增加。此外，细胞因子水平的增加伴随着肺损伤的启动，表现为</w:t>
      </w:r>
      <w:r>
        <w:rPr>
          <w:rStyle w:val="any"/>
          <w:rFonts w:ascii="Arial" w:eastAsia="Arial" w:hAnsi="Arial" w:cs="Arial"/>
          <w:b w:val="0"/>
          <w:bCs w:val="0"/>
          <w:i w:val="0"/>
          <w:iCs w:val="0"/>
          <w:caps w:val="0"/>
          <w:color w:val="1A1A1A"/>
          <w:spacing w:val="0"/>
          <w:lang w:val="zh-CN" w:eastAsia="zh-CN"/>
        </w:rPr>
        <w:t xml:space="preserve"> SP-A </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SP-B </w:t>
      </w:r>
      <w:r>
        <w:rPr>
          <w:rStyle w:val="any"/>
          <w:rFonts w:ascii="PMingLiU" w:eastAsia="PMingLiU" w:hAnsi="PMingLiU" w:cs="PMingLiU"/>
          <w:b w:val="0"/>
          <w:bCs w:val="0"/>
          <w:i w:val="0"/>
          <w:iCs w:val="0"/>
          <w:caps w:val="0"/>
          <w:color w:val="1A1A1A"/>
          <w:spacing w:val="0"/>
          <w:lang w:val="zh-CN" w:eastAsia="zh-CN"/>
        </w:rPr>
        <w:t>水平的降低。</w:t>
      </w:r>
      <w:r>
        <w:rPr>
          <w:rStyle w:val="any"/>
          <w:rFonts w:ascii="Arial" w:eastAsia="Arial" w:hAnsi="Arial" w:cs="Arial"/>
          <w:b w:val="0"/>
          <w:bCs w:val="0"/>
          <w:i w:val="0"/>
          <w:iCs w:val="0"/>
          <w:caps w:val="0"/>
          <w:color w:val="1A1A1A"/>
          <w:spacing w:val="0"/>
          <w:lang w:val="zh-CN" w:eastAsia="zh-CN"/>
        </w:rPr>
        <w:t xml:space="preserve"> </w:t>
      </w:r>
      <w:r>
        <w:rPr>
          <w:rStyle w:val="any"/>
          <w:rFonts w:ascii="PMingLiU" w:eastAsia="PMingLiU" w:hAnsi="PMingLiU" w:cs="PMingLiU"/>
          <w:b w:val="0"/>
          <w:bCs w:val="0"/>
          <w:i w:val="0"/>
          <w:iCs w:val="0"/>
          <w:caps w:val="0"/>
          <w:color w:val="1A1A1A"/>
          <w:spacing w:val="0"/>
          <w:lang w:val="zh-CN" w:eastAsia="zh-CN"/>
        </w:rPr>
        <w:t>在</w:t>
      </w:r>
      <w:r>
        <w:rPr>
          <w:rStyle w:val="any"/>
          <w:rFonts w:ascii="Arial" w:eastAsia="Arial" w:hAnsi="Arial" w:cs="Arial"/>
          <w:b w:val="0"/>
          <w:bCs w:val="0"/>
          <w:i w:val="0"/>
          <w:iCs w:val="0"/>
          <w:caps w:val="0"/>
          <w:color w:val="1A1A1A"/>
          <w:spacing w:val="0"/>
          <w:lang w:val="zh-CN" w:eastAsia="zh-CN"/>
        </w:rPr>
        <w:t xml:space="preserve"> CD11b-DTR </w:t>
      </w:r>
      <w:r>
        <w:rPr>
          <w:rStyle w:val="any"/>
          <w:rFonts w:ascii="PMingLiU" w:eastAsia="PMingLiU" w:hAnsi="PMingLiU" w:cs="PMingLiU"/>
          <w:b w:val="0"/>
          <w:bCs w:val="0"/>
          <w:i w:val="0"/>
          <w:iCs w:val="0"/>
          <w:caps w:val="0"/>
          <w:color w:val="1A1A1A"/>
          <w:spacing w:val="0"/>
          <w:lang w:val="zh-CN" w:eastAsia="zh-CN"/>
        </w:rPr>
        <w:t>小鼠的巨噬细胞耗竭模型中，急性肺损伤（</w:t>
      </w:r>
      <w:r>
        <w:rPr>
          <w:rStyle w:val="any"/>
          <w:rFonts w:ascii="Arial" w:eastAsia="Arial" w:hAnsi="Arial" w:cs="Arial"/>
          <w:b w:val="0"/>
          <w:bCs w:val="0"/>
          <w:i w:val="0"/>
          <w:iCs w:val="0"/>
          <w:caps w:val="0"/>
          <w:color w:val="1A1A1A"/>
          <w:spacing w:val="0"/>
          <w:lang w:val="zh-CN" w:eastAsia="zh-CN"/>
        </w:rPr>
        <w:t>ALI</w:t>
      </w:r>
      <w:r>
        <w:rPr>
          <w:rStyle w:val="any"/>
          <w:rFonts w:ascii="PMingLiU" w:eastAsia="PMingLiU" w:hAnsi="PMingLiU" w:cs="PMingLiU"/>
          <w:b w:val="0"/>
          <w:bCs w:val="0"/>
          <w:i w:val="0"/>
          <w:iCs w:val="0"/>
          <w:caps w:val="0"/>
          <w:color w:val="1A1A1A"/>
          <w:spacing w:val="0"/>
          <w:lang w:val="zh-CN" w:eastAsia="zh-CN"/>
        </w:rPr>
        <w:t>）减轻，血清中</w:t>
      </w:r>
      <w:r>
        <w:rPr>
          <w:rStyle w:val="any"/>
          <w:rFonts w:ascii="Arial" w:eastAsia="Arial" w:hAnsi="Arial" w:cs="Arial"/>
          <w:b w:val="0"/>
          <w:bCs w:val="0"/>
          <w:i w:val="0"/>
          <w:iCs w:val="0"/>
          <w:caps w:val="0"/>
          <w:color w:val="1A1A1A"/>
          <w:spacing w:val="0"/>
          <w:lang w:val="zh-CN" w:eastAsia="zh-CN"/>
        </w:rPr>
        <w:t xml:space="preserve"> IL-1β</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TNF-α</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ROS </w:t>
      </w:r>
      <w:r>
        <w:rPr>
          <w:rStyle w:val="any"/>
          <w:rFonts w:ascii="PMingLiU" w:eastAsia="PMingLiU" w:hAnsi="PMingLiU" w:cs="PMingLiU"/>
          <w:b w:val="0"/>
          <w:bCs w:val="0"/>
          <w:i w:val="0"/>
          <w:iCs w:val="0"/>
          <w:caps w:val="0"/>
          <w:color w:val="1A1A1A"/>
          <w:spacing w:val="0"/>
          <w:lang w:val="zh-CN" w:eastAsia="zh-CN"/>
        </w:rPr>
        <w:t>水平降低，肺中单核细胞趋化蛋白</w:t>
      </w:r>
      <w:r>
        <w:rPr>
          <w:rStyle w:val="any"/>
          <w:rFonts w:ascii="Arial" w:eastAsia="Arial" w:hAnsi="Arial" w:cs="Arial"/>
          <w:b w:val="0"/>
          <w:bCs w:val="0"/>
          <w:i w:val="0"/>
          <w:iCs w:val="0"/>
          <w:caps w:val="0"/>
          <w:color w:val="1A1A1A"/>
          <w:spacing w:val="0"/>
          <w:lang w:val="zh-CN" w:eastAsia="zh-CN"/>
        </w:rPr>
        <w:t>-1</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MCP-1</w:t>
      </w:r>
      <w:r>
        <w:rPr>
          <w:rStyle w:val="any"/>
          <w:rFonts w:ascii="PMingLiU" w:eastAsia="PMingLiU" w:hAnsi="PMingLiU" w:cs="PMingLiU"/>
          <w:b w:val="0"/>
          <w:bCs w:val="0"/>
          <w:i w:val="0"/>
          <w:iCs w:val="0"/>
          <w:caps w:val="0"/>
          <w:color w:val="1A1A1A"/>
          <w:spacing w:val="0"/>
          <w:lang w:val="zh-CN" w:eastAsia="zh-CN"/>
        </w:rPr>
        <w:t>）和巨噬细胞炎症蛋白</w:t>
      </w:r>
      <w:r>
        <w:rPr>
          <w:rStyle w:val="any"/>
          <w:rFonts w:ascii="Arial" w:eastAsia="Arial" w:hAnsi="Arial" w:cs="Arial"/>
          <w:b w:val="0"/>
          <w:bCs w:val="0"/>
          <w:i w:val="0"/>
          <w:iCs w:val="0"/>
          <w:caps w:val="0"/>
          <w:color w:val="1A1A1A"/>
          <w:spacing w:val="0"/>
          <w:lang w:val="zh-CN" w:eastAsia="zh-CN"/>
        </w:rPr>
        <w:t>-2</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MIP-2</w:t>
      </w:r>
      <w:r>
        <w:rPr>
          <w:rStyle w:val="any"/>
          <w:rFonts w:ascii="PMingLiU" w:eastAsia="PMingLiU" w:hAnsi="PMingLiU" w:cs="PMingLiU"/>
          <w:b w:val="0"/>
          <w:bCs w:val="0"/>
          <w:i w:val="0"/>
          <w:iCs w:val="0"/>
          <w:caps w:val="0"/>
          <w:color w:val="1A1A1A"/>
          <w:spacing w:val="0"/>
          <w:lang w:val="zh-CN" w:eastAsia="zh-CN"/>
        </w:rPr>
        <w:t>）水平下降。给予</w:t>
      </w:r>
      <w:r>
        <w:rPr>
          <w:rStyle w:val="any"/>
          <w:rFonts w:ascii="Arial" w:eastAsia="Arial" w:hAnsi="Arial" w:cs="Arial"/>
          <w:b w:val="0"/>
          <w:bCs w:val="0"/>
          <w:i w:val="0"/>
          <w:iCs w:val="0"/>
          <w:caps w:val="0"/>
          <w:color w:val="1A1A1A"/>
          <w:spacing w:val="0"/>
          <w:lang w:val="zh-CN" w:eastAsia="zh-CN"/>
        </w:rPr>
        <w:t xml:space="preserve"> TNF-α</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H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O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w:t>
      </w:r>
      <w:r>
        <w:rPr>
          <w:rStyle w:val="any"/>
          <w:rFonts w:ascii="PMingLiU" w:eastAsia="PMingLiU" w:hAnsi="PMingLiU" w:cs="PMingLiU"/>
          <w:b w:val="0"/>
          <w:bCs w:val="0"/>
          <w:i w:val="0"/>
          <w:iCs w:val="0"/>
          <w:caps w:val="0"/>
          <w:color w:val="1A1A1A"/>
          <w:spacing w:val="0"/>
          <w:lang w:val="zh-CN" w:eastAsia="zh-CN"/>
        </w:rPr>
        <w:t>后，</w:t>
      </w:r>
      <w:r>
        <w:rPr>
          <w:rStyle w:val="any"/>
          <w:rFonts w:ascii="Arial" w:eastAsia="Arial" w:hAnsi="Arial" w:cs="Arial"/>
          <w:b w:val="0"/>
          <w:bCs w:val="0"/>
          <w:i w:val="0"/>
          <w:iCs w:val="0"/>
          <w:caps w:val="0"/>
          <w:color w:val="1A1A1A"/>
          <w:spacing w:val="0"/>
          <w:lang w:val="zh-CN" w:eastAsia="zh-CN"/>
        </w:rPr>
        <w:t xml:space="preserve">M1 </w:t>
      </w:r>
      <w:r>
        <w:rPr>
          <w:rStyle w:val="any"/>
          <w:rFonts w:ascii="PMingLiU" w:eastAsia="PMingLiU" w:hAnsi="PMingLiU" w:cs="PMingLiU"/>
          <w:b w:val="0"/>
          <w:bCs w:val="0"/>
          <w:i w:val="0"/>
          <w:iCs w:val="0"/>
          <w:caps w:val="0"/>
          <w:color w:val="1A1A1A"/>
          <w:spacing w:val="0"/>
          <w:lang w:val="zh-CN" w:eastAsia="zh-CN"/>
        </w:rPr>
        <w:t>巨噬细胞对</w:t>
      </w:r>
      <w:r>
        <w:rPr>
          <w:rStyle w:val="any"/>
          <w:rFonts w:ascii="Arial" w:eastAsia="Arial" w:hAnsi="Arial" w:cs="Arial"/>
          <w:b w:val="0"/>
          <w:bCs w:val="0"/>
          <w:i w:val="0"/>
          <w:iCs w:val="0"/>
          <w:caps w:val="0"/>
          <w:color w:val="1A1A1A"/>
          <w:spacing w:val="0"/>
          <w:lang w:val="zh-CN" w:eastAsia="zh-CN"/>
        </w:rPr>
        <w:t xml:space="preserve"> AT-II </w:t>
      </w:r>
      <w:r>
        <w:rPr>
          <w:rStyle w:val="any"/>
          <w:rFonts w:ascii="PMingLiU" w:eastAsia="PMingLiU" w:hAnsi="PMingLiU" w:cs="PMingLiU"/>
          <w:b w:val="0"/>
          <w:bCs w:val="0"/>
          <w:i w:val="0"/>
          <w:iCs w:val="0"/>
          <w:caps w:val="0"/>
          <w:color w:val="1A1A1A"/>
          <w:spacing w:val="0"/>
          <w:lang w:val="zh-CN" w:eastAsia="zh-CN"/>
        </w:rPr>
        <w:t>或</w:t>
      </w:r>
      <w:r>
        <w:rPr>
          <w:rStyle w:val="any"/>
          <w:rFonts w:ascii="Arial" w:eastAsia="Arial" w:hAnsi="Arial" w:cs="Arial"/>
          <w:b w:val="0"/>
          <w:bCs w:val="0"/>
          <w:i w:val="0"/>
          <w:iCs w:val="0"/>
          <w:caps w:val="0"/>
          <w:color w:val="1A1A1A"/>
          <w:spacing w:val="0"/>
          <w:lang w:val="zh-CN" w:eastAsia="zh-CN"/>
        </w:rPr>
        <w:t xml:space="preserve"> PMECs </w:t>
      </w:r>
      <w:r>
        <w:rPr>
          <w:rStyle w:val="any"/>
          <w:rFonts w:ascii="PMingLiU" w:eastAsia="PMingLiU" w:hAnsi="PMingLiU" w:cs="PMingLiU"/>
          <w:b w:val="0"/>
          <w:bCs w:val="0"/>
          <w:i w:val="0"/>
          <w:iCs w:val="0"/>
          <w:caps w:val="0"/>
          <w:color w:val="1A1A1A"/>
          <w:spacing w:val="0"/>
          <w:lang w:val="zh-CN" w:eastAsia="zh-CN"/>
        </w:rPr>
        <w:t>的促凋亡作用显著增强，细胞活力显著降低，凋亡显著增加。我们的结果表明，</w:t>
      </w:r>
      <w:r>
        <w:rPr>
          <w:rStyle w:val="any"/>
          <w:rFonts w:ascii="Arial" w:eastAsia="Arial" w:hAnsi="Arial" w:cs="Arial"/>
          <w:b w:val="0"/>
          <w:bCs w:val="0"/>
          <w:i w:val="0"/>
          <w:iCs w:val="0"/>
          <w:caps w:val="0"/>
          <w:color w:val="1A1A1A"/>
          <w:spacing w:val="0"/>
          <w:lang w:val="zh-CN" w:eastAsia="zh-CN"/>
        </w:rPr>
        <w:t xml:space="preserve">M1 </w:t>
      </w:r>
      <w:r>
        <w:rPr>
          <w:rStyle w:val="any"/>
          <w:rFonts w:ascii="PMingLiU" w:eastAsia="PMingLiU" w:hAnsi="PMingLiU" w:cs="PMingLiU"/>
          <w:b w:val="0"/>
          <w:bCs w:val="0"/>
          <w:i w:val="0"/>
          <w:iCs w:val="0"/>
          <w:caps w:val="0"/>
          <w:color w:val="1A1A1A"/>
          <w:spacing w:val="0"/>
          <w:lang w:val="zh-CN" w:eastAsia="zh-CN"/>
        </w:rPr>
        <w:t>巨噬细胞被招募到肺部，它们显著增加了</w:t>
      </w:r>
      <w:r>
        <w:rPr>
          <w:rStyle w:val="any"/>
          <w:rFonts w:ascii="Arial" w:eastAsia="Arial" w:hAnsi="Arial" w:cs="Arial"/>
          <w:b w:val="0"/>
          <w:bCs w:val="0"/>
          <w:i w:val="0"/>
          <w:iCs w:val="0"/>
          <w:caps w:val="0"/>
          <w:color w:val="1A1A1A"/>
          <w:spacing w:val="0"/>
          <w:lang w:val="zh-CN" w:eastAsia="zh-CN"/>
        </w:rPr>
        <w:t xml:space="preserve"> TNF-α</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ROS </w:t>
      </w:r>
      <w:r>
        <w:rPr>
          <w:rStyle w:val="any"/>
          <w:rFonts w:ascii="PMingLiU" w:eastAsia="PMingLiU" w:hAnsi="PMingLiU" w:cs="PMingLiU"/>
          <w:b w:val="0"/>
          <w:bCs w:val="0"/>
          <w:i w:val="0"/>
          <w:iCs w:val="0"/>
          <w:caps w:val="0"/>
          <w:color w:val="1A1A1A"/>
          <w:spacing w:val="0"/>
          <w:lang w:val="zh-CN" w:eastAsia="zh-CN"/>
        </w:rPr>
        <w:t>的产生，从而启动了</w:t>
      </w:r>
      <w:r>
        <w:rPr>
          <w:rStyle w:val="any"/>
          <w:rFonts w:ascii="Arial" w:eastAsia="Arial" w:hAnsi="Arial" w:cs="Arial"/>
          <w:b w:val="0"/>
          <w:bCs w:val="0"/>
          <w:i w:val="0"/>
          <w:iCs w:val="0"/>
          <w:caps w:val="0"/>
          <w:color w:val="1A1A1A"/>
          <w:spacing w:val="0"/>
          <w:lang w:val="zh-CN" w:eastAsia="zh-CN"/>
        </w:rPr>
        <w:t xml:space="preserve"> ALI</w:t>
      </w:r>
      <w:r>
        <w:rPr>
          <w:rStyle w:val="any"/>
          <w:rFonts w:ascii="PMingLiU" w:eastAsia="PMingLiU" w:hAnsi="PMingLiU" w:cs="PMingLiU"/>
          <w:b w:val="0"/>
          <w:bCs w:val="0"/>
          <w:i w:val="0"/>
          <w:iCs w:val="0"/>
          <w:caps w:val="0"/>
          <w:color w:val="1A1A1A"/>
          <w:spacing w:val="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#1 </w:t>
      </w:r>
      <w:r>
        <w:rPr>
          <w:rStyle w:val="any"/>
          <w:rFonts w:ascii="Times New Roman" w:eastAsia="Times New Roman" w:hAnsi="Times New Roman" w:cs="Times New Roman"/>
          <w:b/>
          <w:bCs/>
          <w:color w:val="3E3E3E"/>
          <w:spacing w:val="9"/>
        </w:rPr>
        <w:t>René Aquarius</w:t>
      </w:r>
      <w:r>
        <w:rPr>
          <w:rStyle w:val="any"/>
          <w:rFonts w:ascii="Times New Roman" w:eastAsia="Times New Roman" w:hAnsi="Times New Roman" w:cs="Times New Roman"/>
          <w:color w:val="3E3E3E"/>
          <w:spacing w:val="9"/>
        </w:rPr>
        <w:t> </w:t>
      </w:r>
      <w:r>
        <w:rPr>
          <w:rStyle w:val="any"/>
          <w:rFonts w:ascii="Times New Roman" w:eastAsia="Times New Roman" w:hAnsi="Times New Roman" w:cs="Times New Roman"/>
          <w:color w:val="3E3E3E"/>
          <w:spacing w:val="9"/>
        </w:rPr>
        <w:t>comment accepted April 2025</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评论通过，</w:t>
      </w:r>
      <w:r>
        <w:rPr>
          <w:rStyle w:val="any"/>
          <w:rFonts w:ascii="Times New Roman" w:eastAsia="Times New Roman" w:hAnsi="Times New Roman" w:cs="Times New Roman"/>
          <w:color w:val="3E3E3E"/>
          <w:spacing w:val="9"/>
          <w:lang w:val="zh-CN" w:eastAsia="zh-CN"/>
        </w:rPr>
        <w:t xml:space="preserve">2025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4 </w:t>
      </w:r>
      <w:r>
        <w:rPr>
          <w:rStyle w:val="any"/>
          <w:rFonts w:ascii="PMingLiU" w:eastAsia="PMingLiU" w:hAnsi="PMingLiU" w:cs="PMingLiU"/>
          <w:color w:val="3E3E3E"/>
          <w:spacing w:val="9"/>
          <w:lang w:val="zh-CN" w:eastAsia="zh-CN"/>
        </w:rPr>
        <w:t>月</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Dear authors,</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We found unexpected overlap between a figure presented in this study and figures presented in other studies (see enclosed image below).</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我们发现在本研究中展示的图表与其他研究中展示的图表之间存在意外的重叠（见下附图像）。</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511556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33092" name=""/>
                    <pic:cNvPicPr>
                      <a:picLocks noChangeAspect="1"/>
                    </pic:cNvPicPr>
                  </pic:nvPicPr>
                  <pic:blipFill>
                    <a:blip xmlns:r="http://schemas.openxmlformats.org/officeDocument/2006/relationships" r:embed="rId7"/>
                    <a:stretch>
                      <a:fillRect/>
                    </a:stretch>
                  </pic:blipFill>
                  <pic:spPr>
                    <a:xfrm>
                      <a:off x="0" y="0"/>
                      <a:ext cx="5486400" cy="511556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The following paper are affected:</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以下论文受到影响：</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Paper 1: </w:t>
      </w:r>
      <w:r>
        <w:rPr>
          <w:rStyle w:val="any"/>
          <w:rFonts w:ascii="Times New Roman" w:eastAsia="Times New Roman" w:hAnsi="Times New Roman" w:cs="Times New Roman"/>
          <w:color w:val="3E3E3E"/>
          <w:spacing w:val="9"/>
        </w:rPr>
        <w:t>https://pubmed.ncbi.nlm.nih.gov/28849073/</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论文</w:t>
      </w:r>
      <w:r>
        <w:rPr>
          <w:rStyle w:val="any"/>
          <w:rFonts w:ascii="Times New Roman" w:eastAsia="Times New Roman" w:hAnsi="Times New Roman" w:cs="Times New Roman"/>
          <w:color w:val="3E3E3E"/>
          <w:spacing w:val="9"/>
          <w:lang w:val="zh-CN" w:eastAsia="zh-CN"/>
        </w:rPr>
        <w:t xml:space="preserve"> 1: https://pubmed.ncbi.nlm.nih.gov/28849073/</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Paper 2: </w:t>
      </w:r>
      <w:r>
        <w:rPr>
          <w:rStyle w:val="any"/>
          <w:rFonts w:ascii="Times New Roman" w:eastAsia="Times New Roman" w:hAnsi="Times New Roman" w:cs="Times New Roman"/>
          <w:color w:val="3E3E3E"/>
          <w:spacing w:val="9"/>
        </w:rPr>
        <w:t>https://pubmed.ncbi.nlm.nih.gov/29531017/</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论文</w:t>
      </w:r>
      <w:r>
        <w:rPr>
          <w:rStyle w:val="any"/>
          <w:rFonts w:ascii="Times New Roman" w:eastAsia="Times New Roman" w:hAnsi="Times New Roman" w:cs="Times New Roman"/>
          <w:color w:val="3E3E3E"/>
          <w:spacing w:val="9"/>
          <w:lang w:val="zh-CN" w:eastAsia="zh-CN"/>
        </w:rPr>
        <w:t xml:space="preserve"> 2: https://pubmed.ncbi.nlm.nih.gov/29531017/</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We will notify the publishers to resolve these issues.</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我们将通知出版商解决这些问题。</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https://portlandpress.com/bioscirep/article/38/2/BSR20171555/57138/Activation-of-M1-macrophages-plays-a-critical-role</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sz w:val="18"/>
          <w:szCs w:val="18"/>
        </w:rPr>
        <w:t>https://pubpeer.com/publications/24F833F83FB334920EA5C2C520906E#0</w:t>
      </w:r>
    </w:p>
    <w:p>
      <w:pPr>
        <w:pStyle w:val="anyParagraph"/>
        <w:numPr>
          <w:ilvl w:val="0"/>
          <w:numId w:val="1"/>
        </w:numPr>
        <w:shd w:val="clear" w:color="auto" w:fill="FFFFFF"/>
        <w:spacing w:before="150" w:after="0" w:line="390" w:lineRule="atLeast"/>
        <w:ind w:left="840" w:right="46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2&amp;idx=1&amp;sn=bc09527e4421a1f62208a460cb060b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