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子刊大批量撤回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篇中国等学者文章，主要原因多为作者身份发生可疑变化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10:26:50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75" w:line="368" w:lineRule="atLeast"/>
        <w:ind w:left="420" w:right="420" w:firstLine="0"/>
        <w:jc w:val="center"/>
        <w:rPr>
          <w:rStyle w:val="any"/>
          <w:rFonts w:ascii="Calibri" w:eastAsia="Calibri" w:hAnsi="Calibri" w:cs="Calibri"/>
          <w:color w:val="222222"/>
          <w:spacing w:val="8"/>
          <w:sz w:val="21"/>
          <w:szCs w:val="21"/>
        </w:rPr>
      </w:pPr>
      <w:r>
        <w:rPr>
          <w:rStyle w:val="any"/>
          <w:rFonts w:ascii="Calibri" w:eastAsia="Calibri" w:hAnsi="Calibri" w:cs="Calibri"/>
          <w:strike w:val="0"/>
          <w:color w:val="576B95"/>
          <w:spacing w:val="8"/>
          <w:sz w:val="21"/>
          <w:szCs w:val="21"/>
          <w:u w:val="none"/>
        </w:rPr>
        <w:drawing>
          <wp:inline>
            <wp:extent cx="5353050" cy="103822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55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越南是亚太地区受灾害影响最严重的国家之一。洪水、干旱和风暴是最常见的灾害。这些风险危及数百万人的生命，并造成巨大的经济和生产损失。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2022 年 9 月 24 日，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国民经济大学的研究团队在Cell子刊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222222"/>
          <w:spacing w:val="8"/>
          <w:sz w:val="23"/>
          <w:szCs w:val="23"/>
        </w:rPr>
        <w:t>Heliyon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Disaster risk management system in Vietnam: progress and challenges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 的研究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论文，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该研究表明，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未来，越南应在各部委、行业、地方和非政府组织之间建立信息共享网络，以支持政策制定过程，并加强多利益相关方之间的协调。该国还应建立更适当的资金分配机制来满足DRM的需求，特别是在灾难准备和重建阶段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  <w:t>2025 年 2 月 25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主要原因是作者身份发生可疑变化。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706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00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应编辑的要求，这篇文章已被撤回。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发表后，爱思唯尔研究诚信与出版伦理团队代表期刊进行了一项调查，发现在论文提交过程中，作者身份发生了重大变更。在修改过程中，Duong Duc Tam、Duong Thi Van Anh、Tran Dat 和 Tran Huong 被添加到作者列表中，并删除了一位作者，且未提供充分的解释。编辑无法确信文章中所有注明的作者都具备作者资格，因此对文章的有效性/完整性失去了信心，并做出了撤回文章的决定。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作者不同意撤回决定，并对撤回的理由提出异议。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  <w:shd w:val="clear" w:color="auto" w:fill="FFFFFF"/>
        </w:rPr>
        <w:t>被撤回的65篇文章如下: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8294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97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294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参考消息：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https://www.cell.com/heliyon/fulltext/S2405-8440(25)01199-5?_returnURL=https%3A%2F%2Flinkinghub.elsevier.com%2Fretrieve%2Fpii%2FS2405844025011995%3Fshowall%3Dtrue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150" w:after="240" w:line="420" w:lineRule="atLeast"/>
        <w:ind w:left="540" w:right="540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222222"/>
          <w:spacing w:val="8"/>
          <w:u w:val="none"/>
        </w:rPr>
        <w:drawing>
          <wp:inline>
            <wp:extent cx="1524000" cy="804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17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8"/>
          <w:szCs w:val="18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公众号原创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420" w:right="42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8"/>
          <w:szCs w:val="18"/>
        </w:rPr>
        <w:t>禁止转载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222222"/>
          <w:spacing w:val="8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17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诚信科研，专注于学术不端报道。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/>
        <w:ind w:left="300" w:right="300"/>
        <w:jc w:val="right"/>
        <w:rPr>
          <w:rStyle w:val="any"/>
          <w:rFonts w:ascii="微软雅黑" w:eastAsia="微软雅黑" w:hAnsi="微软雅黑" w:cs="微软雅黑"/>
          <w:color w:val="222222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觉得本文好看，请点这里↓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934&amp;idx=1&amp;sn=b1fd0ed739e9671934f8361e980206c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