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543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2570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1620"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552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4640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