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蚌埠医科大学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Zhu Bing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（音译：朱兵）团队发表的论文被撤稿，相关研究曾获得国家自然科学基金资助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00:05:47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5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23</w:t>
      </w:r>
      <w:r>
        <w:rPr>
          <w:rStyle w:val="any"/>
          <w:rFonts w:ascii="PMingLiU" w:eastAsia="PMingLiU" w:hAnsi="PMingLiU" w:cs="PMingLiU"/>
          <w:spacing w:val="8"/>
        </w:rPr>
        <w:t>日，一篇题为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“Paeonol induces the apoptosis of the SGC?7901 gastric cancer cell line by downregulating ERBB2 and inhibiting the NF?κB signaling pathway”</w:t>
      </w:r>
      <w:r>
        <w:rPr>
          <w:rStyle w:val="any"/>
          <w:rFonts w:ascii="PMingLiU" w:eastAsia="PMingLiU" w:hAnsi="PMingLiU" w:cs="PMingLiU"/>
          <w:i/>
          <w:iCs/>
          <w:spacing w:val="8"/>
        </w:rPr>
        <w:t>（丹皮酚通过下调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ERBB2</w:t>
      </w:r>
      <w:r>
        <w:rPr>
          <w:rStyle w:val="any"/>
          <w:rFonts w:ascii="PMingLiU" w:eastAsia="PMingLiU" w:hAnsi="PMingLiU" w:cs="PMingLiU"/>
          <w:i/>
          <w:iCs/>
          <w:spacing w:val="8"/>
        </w:rPr>
        <w:t>和抑制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NF-κB</w:t>
      </w:r>
      <w:r>
        <w:rPr>
          <w:rStyle w:val="any"/>
          <w:rFonts w:ascii="PMingLiU" w:eastAsia="PMingLiU" w:hAnsi="PMingLiU" w:cs="PMingLiU"/>
          <w:i/>
          <w:iCs/>
          <w:spacing w:val="8"/>
        </w:rPr>
        <w:t>信号通路诱导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SGC-7901</w:t>
      </w:r>
      <w:r>
        <w:rPr>
          <w:rStyle w:val="any"/>
          <w:rFonts w:ascii="PMingLiU" w:eastAsia="PMingLiU" w:hAnsi="PMingLiU" w:cs="PMingLiU"/>
          <w:i/>
          <w:iCs/>
          <w:spacing w:val="8"/>
        </w:rPr>
        <w:t>胃癌细胞凋亡）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的论文发表在期刊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International Journal of Molecular Medicine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上，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PMingLiU" w:eastAsia="PMingLiU" w:hAnsi="PMingLiU" w:cs="PMingLiU"/>
          <w:spacing w:val="8"/>
        </w:rPr>
        <w:t>此处填写</w:t>
      </w:r>
      <w:r>
        <w:rPr>
          <w:rStyle w:val="any"/>
          <w:rFonts w:ascii="Times New Roman" w:eastAsia="Times New Roman" w:hAnsi="Times New Roman" w:cs="Times New Roman"/>
          <w:spacing w:val="8"/>
        </w:rPr>
        <w:t>D</w:t>
      </w:r>
      <w:r>
        <w:rPr>
          <w:rStyle w:val="any"/>
          <w:rFonts w:ascii="Times New Roman" w:eastAsia="Times New Roman" w:hAnsi="Times New Roman" w:cs="Times New Roman"/>
          <w:spacing w:val="8"/>
        </w:rPr>
        <w:t>O</w:t>
      </w:r>
      <w:r>
        <w:rPr>
          <w:rStyle w:val="any"/>
          <w:rFonts w:ascii="Times New Roman" w:eastAsia="Times New Roman" w:hAnsi="Times New Roman" w:cs="Times New Roman"/>
          <w:spacing w:val="8"/>
        </w:rPr>
        <w:t>I</w:t>
      </w:r>
      <w:r>
        <w:rPr>
          <w:rStyle w:val="any"/>
          <w:rFonts w:ascii="PMingLiU" w:eastAsia="PMingLiU" w:hAnsi="PMingLiU" w:cs="PMingLiU"/>
          <w:spacing w:val="8"/>
        </w:rPr>
        <w:t>编号</w:t>
      </w:r>
      <w:r>
        <w:rPr>
          <w:rStyle w:val="any"/>
          <w:rFonts w:ascii="PMingLiU" w:eastAsia="PMingLiU" w:hAnsi="PMingLiU" w:cs="PMingLiU"/>
          <w:spacing w:val="8"/>
        </w:rPr>
        <w:t>此处填写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编号</w:t>
      </w:r>
      <w:r>
        <w:rPr>
          <w:rStyle w:val="any"/>
          <w:rFonts w:ascii="PMingLiU" w:eastAsia="PMingLiU" w:hAnsi="PMingLiU" w:cs="PMingLiU"/>
          <w:spacing w:val="8"/>
        </w:rPr>
        <w:t>此处填写</w:t>
      </w:r>
      <w:r>
        <w:rPr>
          <w:rStyle w:val="any"/>
          <w:rFonts w:ascii="Times New Roman" w:eastAsia="Times New Roman" w:hAnsi="Times New Roman" w:cs="Times New Roman"/>
          <w:spacing w:val="8"/>
        </w:rPr>
        <w:t>D</w:t>
      </w:r>
      <w:r>
        <w:rPr>
          <w:rStyle w:val="any"/>
          <w:rFonts w:ascii="Times New Roman" w:eastAsia="Times New Roman" w:hAnsi="Times New Roman" w:cs="Times New Roman"/>
          <w:spacing w:val="8"/>
        </w:rPr>
        <w:t>O</w:t>
      </w:r>
      <w:r>
        <w:rPr>
          <w:rStyle w:val="any"/>
          <w:rFonts w:ascii="Times New Roman" w:eastAsia="Times New Roman" w:hAnsi="Times New Roman" w:cs="Times New Roman"/>
          <w:spacing w:val="8"/>
        </w:rPr>
        <w:t>I</w:t>
      </w:r>
      <w:r>
        <w:rPr>
          <w:rStyle w:val="any"/>
          <w:rFonts w:ascii="PMingLiU" w:eastAsia="PMingLiU" w:hAnsi="PMingLiU" w:cs="PMingLiU"/>
          <w:spacing w:val="8"/>
        </w:rPr>
        <w:t>编号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月，国际知名学术不端监督者</w:t>
      </w:r>
      <w:r>
        <w:rPr>
          <w:rStyle w:val="any"/>
          <w:rFonts w:ascii="Times New Roman" w:eastAsia="Times New Roman" w:hAnsi="Times New Roman" w:cs="Times New Roman"/>
          <w:spacing w:val="8"/>
        </w:rPr>
        <w:t>Elisabeth M. Bik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Puppeer</w:t>
      </w:r>
      <w:r>
        <w:rPr>
          <w:rStyle w:val="any"/>
          <w:rFonts w:ascii="PMingLiU" w:eastAsia="PMingLiU" w:hAnsi="PMingLiU" w:cs="PMingLiU"/>
          <w:spacing w:val="8"/>
        </w:rPr>
        <w:t>学术监督平台上对该论文提出质疑，指出其数据图像存在重复使用的嫌疑。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220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7388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期刊编辑</w:t>
      </w:r>
      <w:r>
        <w:rPr>
          <w:rStyle w:val="any"/>
          <w:rFonts w:ascii="PMingLiU" w:eastAsia="PMingLiU" w:hAnsi="PMingLiU" w:cs="PMingLiU"/>
          <w:spacing w:val="8"/>
        </w:rPr>
        <w:t>对提供的数据缺乏信心，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14</w:t>
      </w:r>
      <w:r>
        <w:rPr>
          <w:rStyle w:val="any"/>
          <w:rFonts w:ascii="PMingLiU" w:eastAsia="PMingLiU" w:hAnsi="PMingLiU" w:cs="PMingLiU"/>
          <w:spacing w:val="8"/>
        </w:rPr>
        <w:t>日，该论文被撤回。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440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7045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44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论文研究内容概述：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本研究旨在探讨丹皮酚（</w:t>
      </w:r>
      <w:r>
        <w:rPr>
          <w:rStyle w:val="any"/>
          <w:rFonts w:ascii="Times New Roman" w:eastAsia="Times New Roman" w:hAnsi="Times New Roman" w:cs="Times New Roman"/>
          <w:spacing w:val="8"/>
        </w:rPr>
        <w:t>Paeonol</w:t>
      </w:r>
      <w:r>
        <w:rPr>
          <w:rStyle w:val="any"/>
          <w:rFonts w:ascii="PMingLiU" w:eastAsia="PMingLiU" w:hAnsi="PMingLiU" w:cs="PMingLiU"/>
          <w:spacing w:val="8"/>
        </w:rPr>
        <w:t>）与胃癌（</w:t>
      </w:r>
      <w:r>
        <w:rPr>
          <w:rStyle w:val="any"/>
          <w:rFonts w:ascii="Times New Roman" w:eastAsia="Times New Roman" w:hAnsi="Times New Roman" w:cs="Times New Roman"/>
          <w:spacing w:val="8"/>
        </w:rPr>
        <w:t>Gastric Cancer, GC</w:t>
      </w:r>
      <w:r>
        <w:rPr>
          <w:rStyle w:val="any"/>
          <w:rFonts w:ascii="PMingLiU" w:eastAsia="PMingLiU" w:hAnsi="PMingLiU" w:cs="PMingLiU"/>
          <w:spacing w:val="8"/>
        </w:rPr>
        <w:t>）之间的关联，重点分析其对核因子</w:t>
      </w:r>
      <w:r>
        <w:rPr>
          <w:rStyle w:val="any"/>
          <w:rFonts w:ascii="Times New Roman" w:eastAsia="Times New Roman" w:hAnsi="Times New Roman" w:cs="Times New Roman"/>
          <w:spacing w:val="8"/>
        </w:rPr>
        <w:t>κB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NF-κB</w:t>
      </w:r>
      <w:r>
        <w:rPr>
          <w:rStyle w:val="any"/>
          <w:rFonts w:ascii="PMingLiU" w:eastAsia="PMingLiU" w:hAnsi="PMingLiU" w:cs="PMingLiU"/>
          <w:spacing w:val="8"/>
        </w:rPr>
        <w:t>）信号通路的潜在调控作用，从而为进一步阐明丹皮酚的抗癌机制提供理论依据。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研究中采用</w:t>
      </w:r>
      <w:r>
        <w:rPr>
          <w:rStyle w:val="any"/>
          <w:rFonts w:ascii="Times New Roman" w:eastAsia="Times New Roman" w:hAnsi="Times New Roman" w:cs="Times New Roman"/>
          <w:spacing w:val="8"/>
        </w:rPr>
        <w:t>MTT</w:t>
      </w:r>
      <w:r>
        <w:rPr>
          <w:rStyle w:val="any"/>
          <w:rFonts w:ascii="PMingLiU" w:eastAsia="PMingLiU" w:hAnsi="PMingLiU" w:cs="PMingLiU"/>
          <w:spacing w:val="8"/>
        </w:rPr>
        <w:t>法评估细胞活力，利用倒置显微镜观察细胞形态变化，并通过流式细胞仪检测细胞凋亡情况。通过</w:t>
      </w:r>
      <w:r>
        <w:rPr>
          <w:rStyle w:val="any"/>
          <w:rFonts w:ascii="Times New Roman" w:eastAsia="Times New Roman" w:hAnsi="Times New Roman" w:cs="Times New Roman"/>
          <w:spacing w:val="8"/>
        </w:rPr>
        <w:t>Stitch</w:t>
      </w:r>
      <w:r>
        <w:rPr>
          <w:rStyle w:val="any"/>
          <w:rFonts w:ascii="PMingLiU" w:eastAsia="PMingLiU" w:hAnsi="PMingLiU" w:cs="PMingLiU"/>
          <w:spacing w:val="8"/>
        </w:rPr>
        <w:t>数据库构建药物</w:t>
      </w:r>
      <w:r>
        <w:rPr>
          <w:rStyle w:val="any"/>
          <w:rFonts w:ascii="Times New Roman" w:eastAsia="Times New Roman" w:hAnsi="Times New Roman" w:cs="Times New Roman"/>
          <w:spacing w:val="8"/>
        </w:rPr>
        <w:t>-</w:t>
      </w:r>
      <w:r>
        <w:rPr>
          <w:rStyle w:val="any"/>
          <w:rFonts w:ascii="PMingLiU" w:eastAsia="PMingLiU" w:hAnsi="PMingLiU" w:cs="PMingLiU"/>
          <w:spacing w:val="8"/>
        </w:rPr>
        <w:t>基因相互作用网络，分析丹皮酚与基因之间的相关性。采用逆转录定量</w:t>
      </w:r>
      <w:r>
        <w:rPr>
          <w:rStyle w:val="any"/>
          <w:rFonts w:ascii="Times New Roman" w:eastAsia="Times New Roman" w:hAnsi="Times New Roman" w:cs="Times New Roman"/>
          <w:spacing w:val="8"/>
        </w:rPr>
        <w:t>PCR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RT-qPCR</w:t>
      </w:r>
      <w:r>
        <w:rPr>
          <w:rStyle w:val="any"/>
          <w:rFonts w:ascii="PMingLiU" w:eastAsia="PMingLiU" w:hAnsi="PMingLiU" w:cs="PMingLiU"/>
          <w:spacing w:val="8"/>
        </w:rPr>
        <w:t>）和酶联免疫吸附试验（</w:t>
      </w:r>
      <w:r>
        <w:rPr>
          <w:rStyle w:val="any"/>
          <w:rFonts w:ascii="Times New Roman" w:eastAsia="Times New Roman" w:hAnsi="Times New Roman" w:cs="Times New Roman"/>
          <w:spacing w:val="8"/>
        </w:rPr>
        <w:t>ELISA</w:t>
      </w:r>
      <w:r>
        <w:rPr>
          <w:rStyle w:val="any"/>
          <w:rFonts w:ascii="PMingLiU" w:eastAsia="PMingLiU" w:hAnsi="PMingLiU" w:cs="PMingLiU"/>
          <w:spacing w:val="8"/>
        </w:rPr>
        <w:t>）检测相关</w:t>
      </w:r>
      <w:r>
        <w:rPr>
          <w:rStyle w:val="any"/>
          <w:rFonts w:ascii="Times New Roman" w:eastAsia="Times New Roman" w:hAnsi="Times New Roman" w:cs="Times New Roman"/>
          <w:spacing w:val="8"/>
        </w:rPr>
        <w:t>mRNA</w:t>
      </w:r>
      <w:r>
        <w:rPr>
          <w:rStyle w:val="any"/>
          <w:rFonts w:ascii="PMingLiU" w:eastAsia="PMingLiU" w:hAnsi="PMingLiU" w:cs="PMingLiU"/>
          <w:spacing w:val="8"/>
        </w:rPr>
        <w:t>及蛋白表达水平，</w:t>
      </w:r>
      <w:r>
        <w:rPr>
          <w:rStyle w:val="any"/>
          <w:rFonts w:ascii="Times New Roman" w:eastAsia="Times New Roman" w:hAnsi="Times New Roman" w:cs="Times New Roman"/>
          <w:spacing w:val="8"/>
        </w:rPr>
        <w:t>Western blot</w:t>
      </w:r>
      <w:r>
        <w:rPr>
          <w:rStyle w:val="any"/>
          <w:rFonts w:ascii="PMingLiU" w:eastAsia="PMingLiU" w:hAnsi="PMingLiU" w:cs="PMingLiU"/>
          <w:spacing w:val="8"/>
        </w:rPr>
        <w:t>法进一步验证蛋白表达变化。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通过对</w:t>
      </w:r>
      <w:r>
        <w:rPr>
          <w:rStyle w:val="any"/>
          <w:rFonts w:ascii="Times New Roman" w:eastAsia="Times New Roman" w:hAnsi="Times New Roman" w:cs="Times New Roman"/>
          <w:spacing w:val="8"/>
        </w:rPr>
        <w:t>Stitch</w:t>
      </w:r>
      <w:r>
        <w:rPr>
          <w:rStyle w:val="any"/>
          <w:rFonts w:ascii="PMingLiU" w:eastAsia="PMingLiU" w:hAnsi="PMingLiU" w:cs="PMingLiU"/>
          <w:spacing w:val="8"/>
        </w:rPr>
        <w:t>数据库中化合物与胃癌相关基因的关联分析，确定了丹皮酚可能影响的关键靶基因网络。其中，与胃癌密切相关的表皮生长因子受体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ERBB2</w:t>
      </w:r>
      <w:r>
        <w:rPr>
          <w:rStyle w:val="any"/>
          <w:rFonts w:ascii="PMingLiU" w:eastAsia="PMingLiU" w:hAnsi="PMingLiU" w:cs="PMingLiU"/>
          <w:spacing w:val="8"/>
        </w:rPr>
        <w:t>）位于丹皮酚作用网络的核心，可能是其调控癌细胞行为的重要潜在靶点。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MTT</w:t>
      </w:r>
      <w:r>
        <w:rPr>
          <w:rStyle w:val="any"/>
          <w:rFonts w:ascii="PMingLiU" w:eastAsia="PMingLiU" w:hAnsi="PMingLiU" w:cs="PMingLiU"/>
          <w:spacing w:val="8"/>
        </w:rPr>
        <w:t>结果显示，丹皮酚对</w:t>
      </w:r>
      <w:r>
        <w:rPr>
          <w:rStyle w:val="any"/>
          <w:rFonts w:ascii="Times New Roman" w:eastAsia="Times New Roman" w:hAnsi="Times New Roman" w:cs="Times New Roman"/>
          <w:spacing w:val="8"/>
        </w:rPr>
        <w:t>SGC-7901</w:t>
      </w:r>
      <w:r>
        <w:rPr>
          <w:rStyle w:val="any"/>
          <w:rFonts w:ascii="PMingLiU" w:eastAsia="PMingLiU" w:hAnsi="PMingLiU" w:cs="PMingLiU"/>
          <w:spacing w:val="8"/>
        </w:rPr>
        <w:t>胃癌细胞系具有明显的抑制作用，且该作用呈时间和剂量依赖性。细胞形态观察发现，丹皮酚处理后细胞出现漂浮、形态异常、轮廓模糊、排列稀疏等现象。流式细胞术结果进一步证实，丹皮酚可显著促进</w:t>
      </w:r>
      <w:r>
        <w:rPr>
          <w:rStyle w:val="any"/>
          <w:rFonts w:ascii="Times New Roman" w:eastAsia="Times New Roman" w:hAnsi="Times New Roman" w:cs="Times New Roman"/>
          <w:spacing w:val="8"/>
        </w:rPr>
        <w:t>SGC-7901</w:t>
      </w:r>
      <w:r>
        <w:rPr>
          <w:rStyle w:val="any"/>
          <w:rFonts w:ascii="PMingLiU" w:eastAsia="PMingLiU" w:hAnsi="PMingLiU" w:cs="PMingLiU"/>
          <w:spacing w:val="8"/>
        </w:rPr>
        <w:t>细胞的凋亡。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临床样本检测表明，</w:t>
      </w:r>
      <w:r>
        <w:rPr>
          <w:rStyle w:val="any"/>
          <w:rFonts w:ascii="Times New Roman" w:eastAsia="Times New Roman" w:hAnsi="Times New Roman" w:cs="Times New Roman"/>
          <w:spacing w:val="8"/>
        </w:rPr>
        <w:t>ERBB2</w:t>
      </w:r>
      <w:r>
        <w:rPr>
          <w:rStyle w:val="any"/>
          <w:rFonts w:ascii="PMingLiU" w:eastAsia="PMingLiU" w:hAnsi="PMingLiU" w:cs="PMingLiU"/>
          <w:spacing w:val="8"/>
        </w:rPr>
        <w:t>在胃癌组织中呈高表达，且在丹皮酚处理后表达水平显著下降。</w:t>
      </w:r>
      <w:r>
        <w:rPr>
          <w:rStyle w:val="any"/>
          <w:rFonts w:ascii="Times New Roman" w:eastAsia="Times New Roman" w:hAnsi="Times New Roman" w:cs="Times New Roman"/>
          <w:spacing w:val="8"/>
        </w:rPr>
        <w:t>Western blot</w:t>
      </w:r>
      <w:r>
        <w:rPr>
          <w:rStyle w:val="any"/>
          <w:rFonts w:ascii="PMingLiU" w:eastAsia="PMingLiU" w:hAnsi="PMingLiU" w:cs="PMingLiU"/>
          <w:spacing w:val="8"/>
        </w:rPr>
        <w:t>结果显示，</w:t>
      </w:r>
      <w:r>
        <w:rPr>
          <w:rStyle w:val="any"/>
          <w:rFonts w:ascii="Times New Roman" w:eastAsia="Times New Roman" w:hAnsi="Times New Roman" w:cs="Times New Roman"/>
          <w:spacing w:val="8"/>
        </w:rPr>
        <w:t>ERBB2</w:t>
      </w:r>
      <w:r>
        <w:rPr>
          <w:rStyle w:val="any"/>
          <w:rFonts w:ascii="PMingLiU" w:eastAsia="PMingLiU" w:hAnsi="PMingLiU" w:cs="PMingLiU"/>
          <w:spacing w:val="8"/>
        </w:rPr>
        <w:t>的下调抑制了</w:t>
      </w:r>
      <w:r>
        <w:rPr>
          <w:rStyle w:val="any"/>
          <w:rFonts w:ascii="Times New Roman" w:eastAsia="Times New Roman" w:hAnsi="Times New Roman" w:cs="Times New Roman"/>
          <w:spacing w:val="8"/>
        </w:rPr>
        <w:t>NF-κB</w:t>
      </w:r>
      <w:r>
        <w:rPr>
          <w:rStyle w:val="any"/>
          <w:rFonts w:ascii="PMingLiU" w:eastAsia="PMingLiU" w:hAnsi="PMingLiU" w:cs="PMingLiU"/>
          <w:spacing w:val="8"/>
        </w:rPr>
        <w:t>信号通路的激活，并上调了促凋亡因子</w:t>
      </w:r>
      <w:r>
        <w:rPr>
          <w:rStyle w:val="any"/>
          <w:rFonts w:ascii="Times New Roman" w:eastAsia="Times New Roman" w:hAnsi="Times New Roman" w:cs="Times New Roman"/>
          <w:spacing w:val="8"/>
        </w:rPr>
        <w:t>Bax</w:t>
      </w:r>
      <w:r>
        <w:rPr>
          <w:rStyle w:val="any"/>
          <w:rFonts w:ascii="PMingLiU" w:eastAsia="PMingLiU" w:hAnsi="PMingLiU" w:cs="PMingLiU"/>
          <w:spacing w:val="8"/>
        </w:rPr>
        <w:t>的表达。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综上所述，丹皮酚通过下调</w:t>
      </w:r>
      <w:r>
        <w:rPr>
          <w:rStyle w:val="any"/>
          <w:rFonts w:ascii="Times New Roman" w:eastAsia="Times New Roman" w:hAnsi="Times New Roman" w:cs="Times New Roman"/>
          <w:spacing w:val="8"/>
        </w:rPr>
        <w:t>ERBB2</w:t>
      </w:r>
      <w:r>
        <w:rPr>
          <w:rStyle w:val="any"/>
          <w:rFonts w:ascii="PMingLiU" w:eastAsia="PMingLiU" w:hAnsi="PMingLiU" w:cs="PMingLiU"/>
          <w:spacing w:val="8"/>
        </w:rPr>
        <w:t>，抑制</w:t>
      </w:r>
      <w:r>
        <w:rPr>
          <w:rStyle w:val="any"/>
          <w:rFonts w:ascii="Times New Roman" w:eastAsia="Times New Roman" w:hAnsi="Times New Roman" w:cs="Times New Roman"/>
          <w:spacing w:val="8"/>
        </w:rPr>
        <w:t>NF-κB</w:t>
      </w:r>
      <w:r>
        <w:rPr>
          <w:rStyle w:val="any"/>
          <w:rFonts w:ascii="PMingLiU" w:eastAsia="PMingLiU" w:hAnsi="PMingLiU" w:cs="PMingLiU"/>
          <w:spacing w:val="8"/>
        </w:rPr>
        <w:t>信号通路的激活，从而抑制胃癌细胞</w:t>
      </w:r>
      <w:r>
        <w:rPr>
          <w:rStyle w:val="any"/>
          <w:rFonts w:ascii="Times New Roman" w:eastAsia="Times New Roman" w:hAnsi="Times New Roman" w:cs="Times New Roman"/>
          <w:spacing w:val="8"/>
        </w:rPr>
        <w:t>SGC-7901</w:t>
      </w:r>
      <w:r>
        <w:rPr>
          <w:rStyle w:val="any"/>
          <w:rFonts w:ascii="PMingLiU" w:eastAsia="PMingLiU" w:hAnsi="PMingLiU" w:cs="PMingLiU"/>
          <w:spacing w:val="8"/>
        </w:rPr>
        <w:t>的增殖并诱导其凋亡，提示其具有潜在的抗胃癌治疗价值。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蚌埠医学院自然科学基金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[BYKY1632ZD]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Zhu Bing</w:t>
      </w:r>
      <w:r>
        <w:rPr>
          <w:rStyle w:val="any"/>
          <w:rFonts w:ascii="PMingLiU" w:eastAsia="PMingLiU" w:hAnsi="PMingLiU" w:cs="PMingLiU"/>
          <w:spacing w:val="8"/>
        </w:rPr>
        <w:t>（音译：朱兵），疑为</w:t>
      </w:r>
      <w:r>
        <w:rPr>
          <w:rStyle w:val="any"/>
          <w:rFonts w:ascii="PMingLiU" w:eastAsia="PMingLiU" w:hAnsi="PMingLiU" w:cs="PMingLiU"/>
          <w:spacing w:val="8"/>
        </w:rPr>
        <w:t>安徽省蚌埠医科大学副主任医师。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>https://pubpeer.com/publications/069478C636737CA9313AF2809DF45C#0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>https://www.spandidos-publications.com/10.3892/ijmm.2018.3704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6332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623&amp;idx=2&amp;sn=c888f2f4649c0963a7d00714ce3825e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