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子刊论文陷图像争议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00:05:17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年，来自南京医科大学、南京医科大学附属眼科医院、以及东南大学生命科学与技术学院的研究团队在《</w:t>
      </w:r>
      <w:r>
        <w:rPr>
          <w:rStyle w:val="any"/>
          <w:rFonts w:ascii="Times New Roman" w:eastAsia="Times New Roman" w:hAnsi="Times New Roman" w:cs="Times New Roman"/>
          <w:spacing w:val="8"/>
        </w:rPr>
        <w:t>Nature Communications</w:t>
      </w:r>
      <w:r>
        <w:rPr>
          <w:rStyle w:val="any"/>
          <w:rFonts w:ascii="PMingLiU" w:eastAsia="PMingLiU" w:hAnsi="PMingLiU" w:cs="PMingLiU"/>
          <w:spacing w:val="8"/>
        </w:rPr>
        <w:t>》期刊上发表了题为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The ARCCRABP1 neurons play a crucial role in the regulation of energy homeostasis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》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的研究论文。该论文的作者包括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Lihong Yan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Xin Zhang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Liling Jin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Yin Li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Yang Chen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Jubiao Zhang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Zhenning Sun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Junxia Qi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Changqing Qu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Guanzhong Dong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Yongjie Zhang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Qin Jiang</w:t>
      </w:r>
      <w:r>
        <w:rPr>
          <w:rStyle w:val="any"/>
          <w:rFonts w:ascii="PMingLiU" w:eastAsia="PMingLiU" w:hAnsi="PMingLiU" w:cs="PMingLiU"/>
          <w:spacing w:val="8"/>
        </w:rPr>
        <w:t>（通讯作者）、</w:t>
      </w:r>
      <w:r>
        <w:rPr>
          <w:rStyle w:val="any"/>
          <w:rFonts w:ascii="Times New Roman" w:eastAsia="Times New Roman" w:hAnsi="Times New Roman" w:cs="Times New Roman"/>
          <w:spacing w:val="8"/>
        </w:rPr>
        <w:t>An Liu</w:t>
      </w:r>
      <w:r>
        <w:rPr>
          <w:rStyle w:val="any"/>
          <w:rFonts w:ascii="PMingLiU" w:eastAsia="PMingLiU" w:hAnsi="PMingLiU" w:cs="PMingLiU"/>
          <w:spacing w:val="8"/>
        </w:rPr>
        <w:t>（通讯作者）、</w:t>
      </w:r>
      <w:r>
        <w:rPr>
          <w:rStyle w:val="any"/>
          <w:rFonts w:ascii="Times New Roman" w:eastAsia="Times New Roman" w:hAnsi="Times New Roman" w:cs="Times New Roman"/>
          <w:spacing w:val="8"/>
        </w:rPr>
        <w:t>Juxue Li</w:t>
      </w:r>
      <w:r>
        <w:rPr>
          <w:rStyle w:val="any"/>
          <w:rFonts w:ascii="PMingLiU" w:eastAsia="PMingLiU" w:hAnsi="PMingLiU" w:cs="PMingLiU"/>
          <w:spacing w:val="8"/>
        </w:rPr>
        <w:t>（通讯作者）。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2648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284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2025年3月，Glyphis substriatula 在 Pubpeer 论坛发表评论: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0801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229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5718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390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#2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李聚学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意见于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月被接受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亲爱的</w:t>
      </w:r>
      <w:r>
        <w:rPr>
          <w:rStyle w:val="any"/>
          <w:rFonts w:ascii="Times New Roman" w:eastAsia="Times New Roman" w:hAnsi="Times New Roman" w:cs="Times New Roman"/>
          <w:spacing w:val="8"/>
        </w:rPr>
        <w:t>Glyphis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感谢您的关注。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在绿色荧光通道中，使用抗体染色检测了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CRABP1 </w:t>
      </w:r>
      <w:r>
        <w:rPr>
          <w:rStyle w:val="any"/>
          <w:rFonts w:ascii="PMingLiU" w:eastAsia="PMingLiU" w:hAnsi="PMingLiU" w:cs="PMingLiU"/>
          <w:spacing w:val="8"/>
        </w:rPr>
        <w:t>细胞。由于二抗带有偶联荧光标记物，组织切片中存在一定程度的绿色背景信号。在共聚焦显微镜成像过程中，我们优化了参数以最大程度地减少这种背景信号，从而使显示的图像中没有明显的背景荧光。然而，在您增强的彩色图像中，仍然可以看到一些残留的背景信号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红色荧光信号（</w:t>
      </w:r>
      <w:r>
        <w:rPr>
          <w:rStyle w:val="any"/>
          <w:rFonts w:ascii="Times New Roman" w:eastAsia="Times New Roman" w:hAnsi="Times New Roman" w:cs="Times New Roman"/>
          <w:spacing w:val="8"/>
        </w:rPr>
        <w:t>mCherry</w:t>
      </w:r>
      <w:r>
        <w:rPr>
          <w:rStyle w:val="any"/>
          <w:rFonts w:ascii="PMingLiU" w:eastAsia="PMingLiU" w:hAnsi="PMingLiU" w:cs="PMingLiU"/>
          <w:spacing w:val="8"/>
        </w:rPr>
        <w:t>）来源于不同载体的表达特性。</w:t>
      </w:r>
      <w:r>
        <w:rPr>
          <w:rStyle w:val="any"/>
          <w:rFonts w:ascii="Times New Roman" w:eastAsia="Times New Roman" w:hAnsi="Times New Roman" w:cs="Times New Roman"/>
          <w:spacing w:val="8"/>
        </w:rPr>
        <w:t>AAV-Control</w:t>
      </w:r>
      <w:r>
        <w:rPr>
          <w:rStyle w:val="any"/>
          <w:rFonts w:ascii="PMingLiU" w:eastAsia="PMingLiU" w:hAnsi="PMingLiU" w:cs="PMingLiU"/>
          <w:spacing w:val="8"/>
        </w:rPr>
        <w:t>组使用</w:t>
      </w:r>
      <w:r>
        <w:rPr>
          <w:rStyle w:val="any"/>
          <w:rFonts w:ascii="Times New Roman" w:eastAsia="Times New Roman" w:hAnsi="Times New Roman" w:cs="Times New Roman"/>
          <w:spacing w:val="8"/>
        </w:rPr>
        <w:t>AAV-DIO-mCherry</w:t>
      </w:r>
      <w:r>
        <w:rPr>
          <w:rStyle w:val="any"/>
          <w:rFonts w:ascii="PMingLiU" w:eastAsia="PMingLiU" w:hAnsi="PMingLiU" w:cs="PMingLiU"/>
          <w:spacing w:val="8"/>
        </w:rPr>
        <w:t>载体，该载体携带</w:t>
      </w:r>
      <w:r>
        <w:rPr>
          <w:rStyle w:val="any"/>
          <w:rFonts w:ascii="Times New Roman" w:eastAsia="Times New Roman" w:hAnsi="Times New Roman" w:cs="Times New Roman"/>
          <w:spacing w:val="8"/>
        </w:rPr>
        <w:t>mCherry</w:t>
      </w:r>
      <w:r>
        <w:rPr>
          <w:rStyle w:val="any"/>
          <w:rFonts w:ascii="PMingLiU" w:eastAsia="PMingLiU" w:hAnsi="PMingLiU" w:cs="PMingLiU"/>
          <w:spacing w:val="8"/>
        </w:rPr>
        <w:t>红色荧光蛋白基因，可以检测到红色荧光。而</w:t>
      </w:r>
      <w:r>
        <w:rPr>
          <w:rStyle w:val="any"/>
          <w:rFonts w:ascii="Times New Roman" w:eastAsia="Times New Roman" w:hAnsi="Times New Roman" w:cs="Times New Roman"/>
          <w:spacing w:val="8"/>
        </w:rPr>
        <w:t>AAV-Caspase3</w:t>
      </w:r>
      <w:r>
        <w:rPr>
          <w:rStyle w:val="any"/>
          <w:rFonts w:ascii="PMingLiU" w:eastAsia="PMingLiU" w:hAnsi="PMingLiU" w:cs="PMingLiU"/>
          <w:spacing w:val="8"/>
        </w:rPr>
        <w:t>组使用</w:t>
      </w:r>
      <w:r>
        <w:rPr>
          <w:rStyle w:val="any"/>
          <w:rFonts w:ascii="Times New Roman" w:eastAsia="Times New Roman" w:hAnsi="Times New Roman" w:cs="Times New Roman"/>
          <w:spacing w:val="8"/>
        </w:rPr>
        <w:t>AAV-DIO-Caspase3</w:t>
      </w:r>
      <w:r>
        <w:rPr>
          <w:rStyle w:val="any"/>
          <w:rFonts w:ascii="PMingLiU" w:eastAsia="PMingLiU" w:hAnsi="PMingLiU" w:cs="PMingLiU"/>
          <w:spacing w:val="8"/>
        </w:rPr>
        <w:t>载体，该载体不含任何荧光蛋白基因。因此，红色通道信号来源于组织基因表达的固有荧光。在</w:t>
      </w:r>
      <w:r>
        <w:rPr>
          <w:rStyle w:val="any"/>
          <w:rFonts w:ascii="Times New Roman" w:eastAsia="Times New Roman" w:hAnsi="Times New Roman" w:cs="Times New Roman"/>
          <w:spacing w:val="8"/>
        </w:rPr>
        <w:t>AAV-Control</w:t>
      </w:r>
      <w:r>
        <w:rPr>
          <w:rStyle w:val="any"/>
          <w:rFonts w:ascii="PMingLiU" w:eastAsia="PMingLiU" w:hAnsi="PMingLiU" w:cs="PMingLiU"/>
          <w:spacing w:val="8"/>
        </w:rPr>
        <w:t>组中，由于</w:t>
      </w:r>
      <w:r>
        <w:rPr>
          <w:rStyle w:val="any"/>
          <w:rFonts w:ascii="Times New Roman" w:eastAsia="Times New Roman" w:hAnsi="Times New Roman" w:cs="Times New Roman"/>
          <w:spacing w:val="8"/>
        </w:rPr>
        <w:t>mCherry</w:t>
      </w:r>
      <w:r>
        <w:rPr>
          <w:rStyle w:val="any"/>
          <w:rFonts w:ascii="PMingLiU" w:eastAsia="PMingLiU" w:hAnsi="PMingLiU" w:cs="PMingLiU"/>
          <w:spacing w:val="8"/>
        </w:rPr>
        <w:t>蛋白存在于神经元突触中，因此可以观察到红色荧光背景，但在共聚焦成像过程中，这种背景被最小化。然而，在</w:t>
      </w:r>
      <w:r>
        <w:rPr>
          <w:rStyle w:val="any"/>
          <w:rFonts w:ascii="Times New Roman" w:eastAsia="Times New Roman" w:hAnsi="Times New Roman" w:cs="Times New Roman"/>
          <w:spacing w:val="8"/>
        </w:rPr>
        <w:t>AAV-Caspase3</w:t>
      </w:r>
      <w:r>
        <w:rPr>
          <w:rStyle w:val="any"/>
          <w:rFonts w:ascii="PMingLiU" w:eastAsia="PMingLiU" w:hAnsi="PMingLiU" w:cs="PMingLiU"/>
          <w:spacing w:val="8"/>
        </w:rPr>
        <w:t>组中，由于该载体不表达任何荧光蛋白基因，因此没有检测到荧光信号背景（只能看到噪声）。因此，在您位于左下方的第二张增强彩色版（红色通道版）中，没有明显残留的背景信号。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优化图像采集的共焦参数是共焦成像的标准程序。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我们希望这个解释能够解答您的疑虑。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李聚学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#3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李聚学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意见于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月被接受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</w:t>
      </w:r>
      <w:r>
        <w:rPr>
          <w:rStyle w:val="any"/>
          <w:rFonts w:ascii="Times New Roman" w:eastAsia="Times New Roman" w:hAnsi="Times New Roman" w:cs="Times New Roman"/>
          <w:spacing w:val="8"/>
        </w:rPr>
        <w:t>AAV-Control</w:t>
      </w:r>
      <w:r>
        <w:rPr>
          <w:rStyle w:val="any"/>
          <w:rFonts w:ascii="PMingLiU" w:eastAsia="PMingLiU" w:hAnsi="PMingLiU" w:cs="PMingLiU"/>
          <w:spacing w:val="8"/>
        </w:rPr>
        <w:t>组显示绿色通道中观察到的背景信号主要归因于部分</w:t>
      </w:r>
      <w:r>
        <w:rPr>
          <w:rStyle w:val="any"/>
          <w:rFonts w:ascii="Times New Roman" w:eastAsia="Times New Roman" w:hAnsi="Times New Roman" w:cs="Times New Roman"/>
          <w:spacing w:val="8"/>
        </w:rPr>
        <w:t>CRABP1</w:t>
      </w:r>
      <w:r>
        <w:rPr>
          <w:rStyle w:val="any"/>
          <w:rFonts w:ascii="PMingLiU" w:eastAsia="PMingLiU" w:hAnsi="PMingLiU" w:cs="PMingLiU"/>
          <w:spacing w:val="8"/>
        </w:rPr>
        <w:t>蛋白在表达</w:t>
      </w:r>
      <w:r>
        <w:rPr>
          <w:rStyle w:val="any"/>
          <w:rFonts w:ascii="Times New Roman" w:eastAsia="Times New Roman" w:hAnsi="Times New Roman" w:cs="Times New Roman"/>
          <w:spacing w:val="8"/>
        </w:rPr>
        <w:t>CRABP1</w:t>
      </w:r>
      <w:r>
        <w:rPr>
          <w:rStyle w:val="any"/>
          <w:rFonts w:ascii="PMingLiU" w:eastAsia="PMingLiU" w:hAnsi="PMingLiU" w:cs="PMingLiU"/>
          <w:spacing w:val="8"/>
        </w:rPr>
        <w:t>的神经元突触内的定位。然而，在</w:t>
      </w:r>
      <w:r>
        <w:rPr>
          <w:rStyle w:val="any"/>
          <w:rFonts w:ascii="Times New Roman" w:eastAsia="Times New Roman" w:hAnsi="Times New Roman" w:cs="Times New Roman"/>
          <w:spacing w:val="8"/>
        </w:rPr>
        <w:t>AAV-Caspase3</w:t>
      </w:r>
      <w:r>
        <w:rPr>
          <w:rStyle w:val="any"/>
          <w:rFonts w:ascii="PMingLiU" w:eastAsia="PMingLiU" w:hAnsi="PMingLiU" w:cs="PMingLiU"/>
          <w:spacing w:val="8"/>
        </w:rPr>
        <w:t>组中，由于所有</w:t>
      </w:r>
      <w:r>
        <w:rPr>
          <w:rStyle w:val="any"/>
          <w:rFonts w:ascii="Times New Roman" w:eastAsia="Times New Roman" w:hAnsi="Times New Roman" w:cs="Times New Roman"/>
          <w:spacing w:val="8"/>
        </w:rPr>
        <w:t>CRABP1</w:t>
      </w:r>
      <w:r>
        <w:rPr>
          <w:rStyle w:val="any"/>
          <w:rFonts w:ascii="PMingLiU" w:eastAsia="PMingLiU" w:hAnsi="PMingLiU" w:cs="PMingLiU"/>
          <w:spacing w:val="8"/>
        </w:rPr>
        <w:t>阳性细胞凋亡，该背景信号消失。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李聚学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6536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5181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75" w:after="150" w:line="231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5. 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李聚学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评论由管理员审核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（欲了解更多信息，请参阅我们的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评论指南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亲爱的艾达斯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感谢您的评论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我们已重新检查数据并确认此错误。我们第一次投稿时提供的数据是正确的（见图）。然而，在第一次修改过程中，</w:t>
      </w:r>
      <w:r>
        <w:rPr>
          <w:rStyle w:val="any"/>
          <w:rFonts w:ascii="Times New Roman" w:eastAsia="Times New Roman" w:hAnsi="Times New Roman" w:cs="Times New Roman"/>
          <w:spacing w:val="8"/>
        </w:rPr>
        <w:t>NC</w:t>
      </w:r>
      <w:r>
        <w:rPr>
          <w:rStyle w:val="any"/>
          <w:rFonts w:ascii="PMingLiU" w:eastAsia="PMingLiU" w:hAnsi="PMingLiU" w:cs="PMingLiU"/>
          <w:spacing w:val="8"/>
        </w:rPr>
        <w:t>期刊要求将所有条形图数据改为点状条形图。在将数据从</w:t>
      </w:r>
      <w:r>
        <w:rPr>
          <w:rStyle w:val="any"/>
          <w:rFonts w:ascii="Times New Roman" w:eastAsia="Times New Roman" w:hAnsi="Times New Roman" w:cs="Times New Roman"/>
          <w:spacing w:val="8"/>
        </w:rPr>
        <w:t>Excel</w:t>
      </w:r>
      <w:r>
        <w:rPr>
          <w:rStyle w:val="any"/>
          <w:rFonts w:ascii="PMingLiU" w:eastAsia="PMingLiU" w:hAnsi="PMingLiU" w:cs="PMingLiU"/>
          <w:spacing w:val="8"/>
        </w:rPr>
        <w:t>复制到</w:t>
      </w:r>
      <w:r>
        <w:rPr>
          <w:rStyle w:val="any"/>
          <w:rFonts w:ascii="Times New Roman" w:eastAsia="Times New Roman" w:hAnsi="Times New Roman" w:cs="Times New Roman"/>
          <w:spacing w:val="8"/>
        </w:rPr>
        <w:t>Graphpad</w:t>
      </w:r>
      <w:r>
        <w:rPr>
          <w:rStyle w:val="any"/>
          <w:rFonts w:ascii="PMingLiU" w:eastAsia="PMingLiU" w:hAnsi="PMingLiU" w:cs="PMingLiU"/>
          <w:spacing w:val="8"/>
        </w:rPr>
        <w:t>的过程中，</w:t>
      </w:r>
      <w:r>
        <w:rPr>
          <w:rStyle w:val="any"/>
          <w:rFonts w:ascii="Times New Roman" w:eastAsia="Times New Roman" w:hAnsi="Times New Roman" w:cs="Times New Roman"/>
          <w:spacing w:val="8"/>
        </w:rPr>
        <w:t>WAT</w:t>
      </w:r>
      <w:r>
        <w:rPr>
          <w:rStyle w:val="any"/>
          <w:rFonts w:ascii="PMingLiU" w:eastAsia="PMingLiU" w:hAnsi="PMingLiU" w:cs="PMingLiU"/>
          <w:spacing w:val="8"/>
        </w:rPr>
        <w:t>的数据被复制了两次，</w:t>
      </w:r>
      <w:r>
        <w:rPr>
          <w:rStyle w:val="any"/>
          <w:rFonts w:ascii="Times New Roman" w:eastAsia="Times New Roman" w:hAnsi="Times New Roman" w:cs="Times New Roman"/>
          <w:spacing w:val="8"/>
        </w:rPr>
        <w:t>BAT</w:t>
      </w:r>
      <w:r>
        <w:rPr>
          <w:rStyle w:val="any"/>
          <w:rFonts w:ascii="PMingLiU" w:eastAsia="PMingLiU" w:hAnsi="PMingLiU" w:cs="PMingLiU"/>
          <w:spacing w:val="8"/>
        </w:rPr>
        <w:t>的数据也重复了。</w:t>
      </w:r>
      <w:r>
        <w:rPr>
          <w:rStyle w:val="any"/>
          <w:rFonts w:ascii="Times New Roman" w:eastAsia="Times New Roman" w:hAnsi="Times New Roman" w:cs="Times New Roman"/>
          <w:spacing w:val="8"/>
        </w:rPr>
        <w:t>NC</w:t>
      </w:r>
      <w:r>
        <w:rPr>
          <w:rStyle w:val="any"/>
          <w:rFonts w:ascii="PMingLiU" w:eastAsia="PMingLiU" w:hAnsi="PMingLiU" w:cs="PMingLiU"/>
          <w:spacing w:val="8"/>
        </w:rPr>
        <w:t>期刊和审稿人应该仍然拥有我们第一次投稿时的正确数据。此错误不会影响文章中的任何结论。如有必要，我们可以向期刊提出更正建议。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7524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636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信息来源：</w:t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https://pubpeer.com/publications/C574624250BED01A5486301A802BC4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7335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600&amp;idx=4&amp;sn=e679237d42239a817512255867b223e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