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该期刊撤回中国学者的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篇文章，主要原因是文章的结果和结论不可靠及图片重复使用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本研究的目的是确定 P53/microRNA-34a (miR-34a)/survivin 通路如何促进奥沙利铂诱导的 (L-OHP) 胃癌细胞抑制。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9 月 10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包头医学院第一附属医院的Guo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Oxaliplatin Activates P53/miR-34a/Survivin Axis in Inhibiting the Progression of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奥沙利铂通过上调 miR-34a、激活上游 P53 基因表达、驱动 survivin 下调（P53/miR-34a/survivin 轴）来抑制 BGC-823 胃癌细胞中的肿瘤生长、侵袭和转移。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结果和结论不可靠。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此外，2023 年 5 月 16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齐齐哈尔医学院附属第三医院的Wang Hecheng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Expression and Significant Roles of the lncRNA NEAT1/miR-493-5p/Rab27A Axis in Ulcerative Colitis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NEAT1 通过抑制 miR-493-5p 表达参与 UC 进展。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4 月 12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武汉市普仁医院的Liu Lingxi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 TUG1 Relieves Renal Mesangial Cell Injury by Modulating the miR-153-3p/Bcl-2 Axis in Lupus Nephritis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lncRNA TUG1 通过调节 LN 中的 miR-153-3p/Bcl-2 轴减轻了 LPS 诱导的 HRMC 损伤。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45115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51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45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上述文章于2024年9月10日在线发表于威利在线图书馆 (wileyonlinelibrary.com)，经期刊主编Marc Veldhoen和John Wiley &amp; Sons Ltd.协商一致，现已撤稿。撤稿是由于方法论中的信息不足，导致无法准确复现研究结果。此外，有人担心图3a中的β肌动蛋白条带与图中其他条带并非来自同一凝胶。最后，据报道，本研究中使用的细胞系受到污染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我们联系了作者征求意见并提供支持数据，但他们尚未回复。编辑认为结果和结论不可靠。作者已被告知撤稿。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https://onlinelibrary.wiley.com/doi/10.1002/iid3.70191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6&amp;idx=1&amp;sn=6327f020237a466966018c64adf7d0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