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学术诚信新考验：四川大学华西医院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Chong Chen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Yu 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Qiang Wei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团队论文图像被指存在连环重复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09:12:06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64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37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2022年9月12日，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四川大学华西医院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Chong Chen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（陈崇）、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 Liu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（刘玉）、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Qiang Wei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（魏强）团队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Cell Death &amp; Disease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Acquired semi-squamatization during chemotherapy suggests differentiation as a therapeutic strategy for bladder cancer”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30842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244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084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14850" cy="2800350"/>
            <wp:docPr id="100004" name="" descr="四川大学华西医院 - 快懂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4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之间存在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0657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90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https://pubmed.ncbi.nlm.nih.gov/36099882/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466&amp;idx=1&amp;sn=6473800fa08dfbdb15c43dfce6b9154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