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浙江中医药大学中医药科学院副院长</w:t>
        </w:r>
        <w:r>
          <w:rPr>
            <w:rStyle w:val="a"/>
            <w:rFonts w:ascii="Times New Roman" w:eastAsia="Times New Roman" w:hAnsi="Times New Roman" w:cs="Times New Roman"/>
            <w:b w:val="0"/>
            <w:bCs w:val="0"/>
            <w:spacing w:val="8"/>
          </w:rPr>
          <w:t>Fanzhu Li</w:t>
        </w:r>
        <w:r>
          <w:rPr>
            <w:rStyle w:val="a"/>
            <w:rFonts w:ascii="PMingLiU" w:eastAsia="PMingLiU" w:hAnsi="PMingLiU" w:cs="PMingLiU"/>
            <w:b w:val="0"/>
            <w:bCs w:val="0"/>
            <w:spacing w:val="8"/>
          </w:rPr>
          <w:t>（音译：李范珠）团队论文被质疑图像重复，背后有国自然基金支持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42170"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pH-triggered sustained release of arsenic trioxide by polyacrylic acid capped mesoporous silica nanoparticles for solid tumor treatment in vitro and in vivo</w:t>
      </w:r>
      <w:r>
        <w:rPr>
          <w:rStyle w:val="any"/>
          <w:rFonts w:ascii="PMingLiU" w:eastAsia="PMingLiU" w:hAnsi="PMingLiU" w:cs="PMingLiU"/>
          <w:spacing w:val="8"/>
        </w:rPr>
        <w:t>（聚丙烯酸包覆的介孔二氧化硅纳米粒子在体外和体内用于实体瘤治疗的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触发的三氧化二砷的持续释放）的论文在《</w:t>
      </w:r>
      <w:r>
        <w:rPr>
          <w:rStyle w:val="any"/>
          <w:rFonts w:ascii="Times New Roman" w:eastAsia="Times New Roman" w:hAnsi="Times New Roman" w:cs="Times New Roman"/>
          <w:spacing w:val="8"/>
        </w:rPr>
        <w:t>Journal of Biomaterials Applications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10.1177/0885328216637211</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Paguma larvata</w:t>
      </w:r>
      <w:r>
        <w:rPr>
          <w:rStyle w:val="any"/>
          <w:rFonts w:ascii="PMingLiU" w:eastAsia="PMingLiU" w:hAnsi="PMingLiU" w:cs="PMingLiU"/>
          <w:spacing w:val="8"/>
        </w:rPr>
        <w:t>对该论文提出质疑，认为部分图像有重复。作者一直无回复。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14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53867" name=""/>
                    <pic:cNvPicPr>
                      <a:picLocks noChangeAspect="1"/>
                    </pic:cNvPicPr>
                  </pic:nvPicPr>
                  <pic:blipFill>
                    <a:blip xmlns:r="http://schemas.openxmlformats.org/officeDocument/2006/relationships" r:embed="rId7"/>
                    <a:stretch>
                      <a:fillRect/>
                    </a:stretch>
                  </pic:blipFill>
                  <pic:spPr>
                    <a:xfrm>
                      <a:off x="0" y="0"/>
                      <a:ext cx="5486400" cy="287143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52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47842" name=""/>
                    <pic:cNvPicPr>
                      <a:picLocks noChangeAspect="1"/>
                    </pic:cNvPicPr>
                  </pic:nvPicPr>
                  <pic:blipFill>
                    <a:blip xmlns:r="http://schemas.openxmlformats.org/officeDocument/2006/relationships" r:embed="rId8"/>
                    <a:stretch>
                      <a:fillRect/>
                    </a:stretch>
                  </pic:blipFill>
                  <pic:spPr>
                    <a:xfrm>
                      <a:off x="0" y="0"/>
                      <a:ext cx="5486400" cy="3952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Times New Roman" w:eastAsia="Times New Roman" w:hAnsi="Times New Roman" w:cs="Times New Roman"/>
          <w:spacing w:val="8"/>
        </w:rPr>
        <w:t>FDA</w:t>
      </w:r>
      <w:r>
        <w:rPr>
          <w:rStyle w:val="any"/>
          <w:rFonts w:ascii="PMingLiU" w:eastAsia="PMingLiU" w:hAnsi="PMingLiU" w:cs="PMingLiU"/>
          <w:spacing w:val="8"/>
        </w:rPr>
        <w:t>批准的血液学恶性肿瘤药物（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）砷三氧化物（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）被证明是有效的生长抑制癌细胞</w:t>
      </w:r>
      <w:r>
        <w:rPr>
          <w:rStyle w:val="any"/>
          <w:rFonts w:ascii="Times New Roman" w:eastAsia="Times New Roman" w:hAnsi="Times New Roman" w:cs="Times New Roman"/>
          <w:spacing w:val="8"/>
        </w:rPr>
        <w:t>Invitro</w:t>
      </w:r>
      <w:r>
        <w:rPr>
          <w:rStyle w:val="any"/>
          <w:rFonts w:ascii="PMingLiU" w:eastAsia="PMingLiU" w:hAnsi="PMingLiU" w:cs="PMingLiU"/>
          <w:spacing w:val="8"/>
        </w:rPr>
        <w:t>或实体瘤</w:t>
      </w:r>
      <w:r>
        <w:rPr>
          <w:rStyle w:val="any"/>
          <w:rFonts w:ascii="Times New Roman" w:eastAsia="Times New Roman" w:hAnsi="Times New Roman" w:cs="Times New Roman"/>
          <w:spacing w:val="8"/>
        </w:rPr>
        <w:t>Invivo</w:t>
      </w:r>
      <w:r>
        <w:rPr>
          <w:rStyle w:val="any"/>
          <w:rFonts w:ascii="PMingLiU" w:eastAsia="PMingLiU" w:hAnsi="PMingLiU" w:cs="PMingLiU"/>
          <w:spacing w:val="8"/>
        </w:rPr>
        <w:t>的。然而，它对实体肿瘤的影响受到较差的药代动力学和剂量限制毒性的阻碍。在这项研究中，进行了聚丙烯酸限制的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触发的介孔二氧化硅纳米颗粒以改善药代动力学并增强砷三氧化物的抗肿瘤作用。将带有砷三氧化物的介孔二氧化硅纳米颗粒与聚丙烯酸（</w:t>
      </w:r>
      <w:r>
        <w:rPr>
          <w:rStyle w:val="any"/>
          <w:rFonts w:ascii="Times New Roman" w:eastAsia="Times New Roman" w:hAnsi="Times New Roman" w:cs="Times New Roman"/>
          <w:spacing w:val="8"/>
        </w:rPr>
        <w:t>PAA-ato-MSN</w:t>
      </w:r>
      <w:r>
        <w:rPr>
          <w:rStyle w:val="any"/>
          <w:rFonts w:ascii="PMingLiU" w:eastAsia="PMingLiU" w:hAnsi="PMingLiU" w:cs="PMingLiU"/>
          <w:spacing w:val="8"/>
        </w:rPr>
        <w:t>）接枝，作为表面上的</w:t>
      </w:r>
      <w:r>
        <w:rPr>
          <w:rStyle w:val="any"/>
          <w:rFonts w:ascii="Times New Roman" w:eastAsia="Times New Roman" w:hAnsi="Times New Roman" w:cs="Times New Roman"/>
          <w:spacing w:val="8"/>
        </w:rPr>
        <w:t>pH</w:t>
      </w:r>
      <w:r>
        <w:rPr>
          <w:rStyle w:val="any"/>
          <w:rFonts w:ascii="PMingLiU" w:eastAsia="PMingLiU" w:hAnsi="PMingLiU" w:cs="PMingLiU"/>
          <w:spacing w:val="8"/>
        </w:rPr>
        <w:t>值得反应性生物材料，以实现药物在肿瘤的酸性微环境中的释放，而不是循环中的突发释放作用。纳米颗粒的特征是均匀的晶粒尺寸（颗粒尺寸为</w:t>
      </w:r>
      <w:r>
        <w:rPr>
          <w:rStyle w:val="any"/>
          <w:rFonts w:ascii="Times New Roman" w:eastAsia="Times New Roman" w:hAnsi="Times New Roman" w:cs="Times New Roman"/>
          <w:spacing w:val="8"/>
        </w:rPr>
        <w:t>158.6 +/- 1.3 nm</w:t>
      </w:r>
      <w:r>
        <w:rPr>
          <w:rStyle w:val="any"/>
          <w:rFonts w:ascii="PMingLiU" w:eastAsia="PMingLiU" w:hAnsi="PMingLiU" w:cs="PMingLiU"/>
          <w:spacing w:val="8"/>
        </w:rPr>
        <w:t>，孔径分别为</w:t>
      </w:r>
      <w:r>
        <w:rPr>
          <w:rStyle w:val="any"/>
          <w:rFonts w:ascii="Times New Roman" w:eastAsia="Times New Roman" w:hAnsi="Times New Roman" w:cs="Times New Roman"/>
          <w:spacing w:val="8"/>
        </w:rPr>
        <w:t>3.71 nm</w:t>
      </w:r>
      <w:r>
        <w:rPr>
          <w:rStyle w:val="any"/>
          <w:rFonts w:ascii="PMingLiU" w:eastAsia="PMingLiU" w:hAnsi="PMingLiU" w:cs="PMingLiU"/>
          <w:spacing w:val="8"/>
        </w:rPr>
        <w:t>），历史上可比的药物载荷效率（</w:t>
      </w:r>
      <w:r>
        <w:rPr>
          <w:rStyle w:val="any"/>
          <w:rFonts w:ascii="Times New Roman" w:eastAsia="Times New Roman" w:hAnsi="Times New Roman" w:cs="Times New Roman"/>
          <w:spacing w:val="8"/>
        </w:rPr>
        <w:t>11.42 +/- 1.75</w:t>
      </w:r>
      <w:r>
        <w:rPr>
          <w:rStyle w:val="any"/>
          <w:rFonts w:ascii="PMingLiU" w:eastAsia="PMingLiU" w:hAnsi="PMingLiU" w:cs="PMingLiU"/>
          <w:spacing w:val="8"/>
        </w:rPr>
        <w:t>％），</w:t>
      </w:r>
      <w:r>
        <w:rPr>
          <w:rStyle w:val="any"/>
          <w:rFonts w:ascii="Times New Roman" w:eastAsia="Times New Roman" w:hAnsi="Times New Roman" w:cs="Times New Roman"/>
          <w:spacing w:val="8"/>
        </w:rPr>
        <w:t>pH</w:t>
      </w:r>
      <w:r>
        <w:rPr>
          <w:rStyle w:val="any"/>
          <w:rFonts w:ascii="PMingLiU" w:eastAsia="PMingLiU" w:hAnsi="PMingLiU" w:cs="PMingLiU"/>
          <w:spacing w:val="8"/>
        </w:rPr>
        <w:t>值和增强和增强的持续释放功能。通过限额的聚丙烯酸限制，氨基基团改性二氧化硅纳米颗粒（</w:t>
      </w:r>
      <w:r>
        <w:rPr>
          <w:rStyle w:val="any"/>
          <w:rFonts w:ascii="Times New Roman" w:eastAsia="Times New Roman" w:hAnsi="Times New Roman" w:cs="Times New Roman"/>
          <w:spacing w:val="8"/>
        </w:rPr>
        <w:t>NH2-MSN</w:t>
      </w:r>
      <w:r>
        <w:rPr>
          <w:rStyle w:val="any"/>
          <w:rFonts w:ascii="PMingLiU" w:eastAsia="PMingLiU" w:hAnsi="PMingLiU" w:cs="PMingLiU"/>
          <w:spacing w:val="8"/>
        </w:rPr>
        <w:t>）的细胞毒性显著降低。在药代动力学研究中，与游离的三氧化物组相比，</w:t>
      </w:r>
      <w:r>
        <w:rPr>
          <w:rStyle w:val="any"/>
          <w:rFonts w:ascii="Times New Roman" w:eastAsia="Times New Roman" w:hAnsi="Times New Roman" w:cs="Times New Roman"/>
          <w:spacing w:val="8"/>
        </w:rPr>
        <w:t>PAA-ato-MSN</w:t>
      </w:r>
      <w:r>
        <w:rPr>
          <w:rStyle w:val="any"/>
          <w:rFonts w:ascii="PMingLiU" w:eastAsia="PMingLiU" w:hAnsi="PMingLiU" w:cs="PMingLiU"/>
          <w:spacing w:val="8"/>
        </w:rPr>
        <w:t>组的半个时间（</w:t>
      </w:r>
      <w:r>
        <w:rPr>
          <w:rStyle w:val="any"/>
          <w:rFonts w:ascii="Times New Roman" w:eastAsia="Times New Roman" w:hAnsi="Times New Roman" w:cs="Times New Roman"/>
          <w:spacing w:val="8"/>
        </w:rPr>
        <w:t>t</w:t>
      </w:r>
      <w:r>
        <w:rPr>
          <w:rStyle w:val="any"/>
          <w:rFonts w:ascii="PMingLiU" w:eastAsia="PMingLiU" w:hAnsi="PMingLiU" w:cs="PMingLiU"/>
          <w:spacing w:val="8"/>
        </w:rPr>
        <w:t>（</w:t>
      </w:r>
      <w:r>
        <w:rPr>
          <w:rStyle w:val="any"/>
          <w:rFonts w:ascii="Times New Roman" w:eastAsia="Times New Roman" w:hAnsi="Times New Roman" w:cs="Times New Roman"/>
          <w:spacing w:val="8"/>
        </w:rPr>
        <w:t>1/2</w:t>
      </w:r>
      <w:r>
        <w:rPr>
          <w:rStyle w:val="any"/>
          <w:rFonts w:ascii="PMingLiU" w:eastAsia="PMingLiU" w:hAnsi="PMingLiU" w:cs="PMingLiU"/>
          <w:spacing w:val="8"/>
        </w:rPr>
        <w:t>））延长了</w:t>
      </w:r>
      <w:r>
        <w:rPr>
          <w:rStyle w:val="any"/>
          <w:rFonts w:ascii="Times New Roman" w:eastAsia="Times New Roman" w:hAnsi="Times New Roman" w:cs="Times New Roman"/>
          <w:spacing w:val="8"/>
        </w:rPr>
        <w:t>1.3</w:t>
      </w:r>
      <w:r>
        <w:rPr>
          <w:rStyle w:val="any"/>
          <w:rFonts w:ascii="PMingLiU" w:eastAsia="PMingLiU" w:hAnsi="PMingLiU" w:cs="PMingLiU"/>
          <w:spacing w:val="8"/>
        </w:rPr>
        <w:t>次，曲线面积的面积增加了</w:t>
      </w:r>
      <w:r>
        <w:rPr>
          <w:rStyle w:val="any"/>
          <w:rFonts w:ascii="Times New Roman" w:eastAsia="Times New Roman" w:hAnsi="Times New Roman" w:cs="Times New Roman"/>
          <w:spacing w:val="8"/>
        </w:rPr>
        <w:t>2.6</w:t>
      </w:r>
      <w:r>
        <w:rPr>
          <w:rStyle w:val="any"/>
          <w:rFonts w:ascii="PMingLiU" w:eastAsia="PMingLiU" w:hAnsi="PMingLiU" w:cs="PMingLiU"/>
          <w:spacing w:val="8"/>
        </w:rPr>
        <w:t>倍。随后，抗肿瘤功效</w:t>
      </w:r>
      <w:r>
        <w:rPr>
          <w:rStyle w:val="any"/>
          <w:rFonts w:ascii="Times New Roman" w:eastAsia="Times New Roman" w:hAnsi="Times New Roman" w:cs="Times New Roman"/>
          <w:spacing w:val="8"/>
        </w:rPr>
        <w:t>Invitro</w:t>
      </w:r>
      <w:r>
        <w:rPr>
          <w:rStyle w:val="any"/>
          <w:rFonts w:ascii="PMingLiU" w:eastAsia="PMingLiU" w:hAnsi="PMingLiU" w:cs="PMingLiU"/>
          <w:spacing w:val="8"/>
        </w:rPr>
        <w:t>（</w:t>
      </w:r>
      <w:r>
        <w:rPr>
          <w:rStyle w:val="any"/>
          <w:rFonts w:ascii="Times New Roman" w:eastAsia="Times New Roman" w:hAnsi="Times New Roman" w:cs="Times New Roman"/>
          <w:spacing w:val="8"/>
        </w:rPr>
        <w:t>SMMC-7721</w:t>
      </w:r>
      <w:r>
        <w:rPr>
          <w:rStyle w:val="any"/>
          <w:rFonts w:ascii="PMingLiU" w:eastAsia="PMingLiU" w:hAnsi="PMingLiU" w:cs="PMingLiU"/>
          <w:spacing w:val="8"/>
        </w:rPr>
        <w:t>细胞系）和</w:t>
      </w:r>
      <w:r>
        <w:rPr>
          <w:rStyle w:val="any"/>
          <w:rFonts w:ascii="Times New Roman" w:eastAsia="Times New Roman" w:hAnsi="Times New Roman" w:cs="Times New Roman"/>
          <w:spacing w:val="8"/>
        </w:rPr>
        <w:t>Invivo</w:t>
      </w:r>
      <w:r>
        <w:rPr>
          <w:rStyle w:val="any"/>
          <w:rFonts w:ascii="PMingLiU" w:eastAsia="PMingLiU" w:hAnsi="PMingLiU" w:cs="PMingLiU"/>
          <w:spacing w:val="8"/>
        </w:rPr>
        <w:t>（</w:t>
      </w:r>
      <w:r>
        <w:rPr>
          <w:rStyle w:val="any"/>
          <w:rFonts w:ascii="Times New Roman" w:eastAsia="Times New Roman" w:hAnsi="Times New Roman" w:cs="Times New Roman"/>
          <w:spacing w:val="8"/>
        </w:rPr>
        <w:t>H22</w:t>
      </w:r>
      <w:r>
        <w:rPr>
          <w:rStyle w:val="any"/>
          <w:rFonts w:ascii="PMingLiU" w:eastAsia="PMingLiU" w:hAnsi="PMingLiU" w:cs="PMingLiU"/>
          <w:spacing w:val="8"/>
        </w:rPr>
        <w:t>异种移植物）被显著增强，表明</w:t>
      </w:r>
      <w:r>
        <w:rPr>
          <w:rStyle w:val="any"/>
          <w:rFonts w:ascii="Times New Roman" w:eastAsia="Times New Roman" w:hAnsi="Times New Roman" w:cs="Times New Roman"/>
          <w:spacing w:val="8"/>
        </w:rPr>
        <w:t>PAA-ato-MSN</w:t>
      </w:r>
      <w:r>
        <w:rPr>
          <w:rStyle w:val="any"/>
          <w:rFonts w:ascii="PMingLiU" w:eastAsia="PMingLiU" w:hAnsi="PMingLiU" w:cs="PMingLiU"/>
          <w:spacing w:val="8"/>
        </w:rPr>
        <w:t>改善了该药物的抗肿瘤作用。这些结果表明，聚丙烯酸限制的中孔二氧化硅纳米颗粒（</w:t>
      </w:r>
      <w:r>
        <w:rPr>
          <w:rStyle w:val="any"/>
          <w:rFonts w:ascii="Times New Roman" w:eastAsia="Times New Roman" w:hAnsi="Times New Roman" w:cs="Times New Roman"/>
          <w:spacing w:val="8"/>
        </w:rPr>
        <w:t>PAA-MSN</w:t>
      </w:r>
      <w:r>
        <w:rPr>
          <w:rStyle w:val="any"/>
          <w:rFonts w:ascii="PMingLiU" w:eastAsia="PMingLiU" w:hAnsi="PMingLiU" w:cs="PMingLiU"/>
          <w:spacing w:val="8"/>
        </w:rPr>
        <w:t>）将是一种有前途的纳米载体，用于改善药代动力学特征并增强砷三氧化物的抗肿瘤功效。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7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8457" name=""/>
                    <pic:cNvPicPr>
                      <a:picLocks noChangeAspect="1"/>
                    </pic:cNvPicPr>
                  </pic:nvPicPr>
                  <pic:blipFill>
                    <a:blip xmlns:r="http://schemas.openxmlformats.org/officeDocument/2006/relationships" r:embed="rId9"/>
                    <a:stretch>
                      <a:fillRect/>
                    </a:stretch>
                  </pic:blipFill>
                  <pic:spPr>
                    <a:xfrm>
                      <a:off x="0" y="0"/>
                      <a:ext cx="5486400" cy="238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[81274089,81473361]</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[LZ13H280001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LY12H28004]</w:t>
      </w:r>
      <w:r>
        <w:rPr>
          <w:rStyle w:val="any"/>
          <w:rFonts w:ascii="PMingLiU" w:eastAsia="PMingLiU" w:hAnsi="PMingLiU" w:cs="PMingLiU"/>
          <w:spacing w:val="8"/>
        </w:rPr>
        <w:t>；浙江省科技创新团队项目</w:t>
      </w:r>
      <w:r>
        <w:rPr>
          <w:rStyle w:val="any"/>
          <w:rFonts w:ascii="Times New Roman" w:eastAsia="Times New Roman" w:hAnsi="Times New Roman" w:cs="Times New Roman"/>
          <w:spacing w:val="8"/>
        </w:rPr>
        <w:t>[2015R410051]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Fanzhu Li</w:t>
      </w:r>
      <w:r>
        <w:rPr>
          <w:rStyle w:val="any"/>
          <w:rFonts w:ascii="PMingLiU" w:eastAsia="PMingLiU" w:hAnsi="PMingLiU" w:cs="PMingLiU"/>
          <w:spacing w:val="8"/>
        </w:rPr>
        <w:t>（音译：李范珠），疑为</w:t>
      </w:r>
      <w:r>
        <w:rPr>
          <w:rStyle w:val="any"/>
          <w:rFonts w:ascii="PMingLiU" w:eastAsia="PMingLiU" w:hAnsi="PMingLiU" w:cs="PMingLiU"/>
          <w:spacing w:val="8"/>
        </w:rPr>
        <w:t>浙江中医药大学中医药科学院副院长，浙江中医药大学浙八味（道地药材）研究所所长。兼任温州医科大学中韩皮肤美容研究所副所长</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中华中医药学会中药制剂分会副主任委员，世界中联药膳食疗研究专业委员会副会长，世界中联中医药抗病毒研究专业委员会副会长，中国医药物资协会副会长，全国中医药高教学会中药教育研究会副理事长，全国高等学校中药临床药学专业教材建设指导委员会副主任委员，中国药学会中药和天然药物专业</w:t>
      </w:r>
      <w:r>
        <w:rPr>
          <w:rStyle w:val="any"/>
          <w:rFonts w:ascii="Times New Roman" w:eastAsia="Times New Roman" w:hAnsi="Times New Roman" w:cs="Times New Roman"/>
          <w:spacing w:val="8"/>
        </w:rPr>
        <w:t>/</w:t>
      </w:r>
      <w:r>
        <w:rPr>
          <w:rStyle w:val="any"/>
          <w:rFonts w:ascii="PMingLiU" w:eastAsia="PMingLiU" w:hAnsi="PMingLiU" w:cs="PMingLiU"/>
          <w:spacing w:val="8"/>
        </w:rPr>
        <w:t>药剂专业委员会委员，中国颗粒学会生物颗粒委员会委员，浙江省药学会常务理事，浙江省药学会药剂专业委员会主任委员</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，浙江省毒理协会副理事长及主任委员。浙江省重点科技创新团队学术带头人，省重中之重学科（中药制剂）学科带头人，国家中医药管理局三级科研实验室（中药制剂实验室）负责人。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https://pubpeer.com/publications/411C984127859166F5354AA9BBCD39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https://sage.cnpereading.com/paragraph/article/?doi=10.1177/088532821663721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6&amp;sn=36220f8aaf94cb826b611a581f01d2b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