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不可调和的争议？安阳肿瘤医院胸三科副主任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Mingfei Geng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（音译：耿明飞）团队论文被撤稿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3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2024年11月22日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Prediction of the Survival Status, Immunotherapy Response, and Medication of Lung Adenocarcinoma Patients Based on Hypoxia- and Apoptosis-Related Genes（基于缺氧和凋亡相关基因预测肺腺癌患者的生存状态、免疫治疗反应和用药）的论文在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Hormone and Metabolic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10.1055/A-2458-7088。</w:t>
      </w:r>
      <w:r>
        <w:rPr>
          <w:rStyle w:val="any"/>
          <w:rFonts w:ascii="微软雅黑" w:eastAsia="微软雅黑" w:hAnsi="微软雅黑" w:cs="微软雅黑"/>
          <w:spacing w:val="8"/>
        </w:rPr>
        <w:t>期刊编辑表示“</w:t>
      </w:r>
      <w:r>
        <w:rPr>
          <w:rStyle w:val="any"/>
          <w:rFonts w:ascii="微软雅黑" w:eastAsia="微软雅黑" w:hAnsi="微软雅黑" w:cs="微软雅黑"/>
          <w:spacing w:val="8"/>
        </w:rPr>
        <w:t>由于不可调和的争议”，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2025年4月7日被撤回。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2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为了预测患者的生存预后，我们旨在建立一组与缺氧和凋亡相关的新基因特征。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RNA-SEQ</w:t>
      </w:r>
      <w:r>
        <w:rPr>
          <w:rStyle w:val="any"/>
          <w:rFonts w:ascii="PMingLiU" w:eastAsia="PMingLiU" w:hAnsi="PMingLiU" w:cs="PMingLiU"/>
          <w:spacing w:val="8"/>
        </w:rPr>
        <w:t>和临床数据来自癌症基因组图集（</w:t>
      </w:r>
      <w:r>
        <w:rPr>
          <w:rStyle w:val="any"/>
          <w:rFonts w:ascii="Times New Roman" w:eastAsia="Times New Roman" w:hAnsi="Times New Roman" w:cs="Times New Roman"/>
          <w:spacing w:val="8"/>
        </w:rPr>
        <w:t>TCGA</w:t>
      </w:r>
      <w:r>
        <w:rPr>
          <w:rStyle w:val="any"/>
          <w:rFonts w:ascii="PMingLiU" w:eastAsia="PMingLiU" w:hAnsi="PMingLiU" w:cs="PMingLiU"/>
          <w:spacing w:val="8"/>
        </w:rPr>
        <w:t>）和基因表达综合（</w:t>
      </w:r>
      <w:r>
        <w:rPr>
          <w:rStyle w:val="any"/>
          <w:rFonts w:ascii="Times New Roman" w:eastAsia="Times New Roman" w:hAnsi="Times New Roman" w:cs="Times New Roman"/>
          <w:spacing w:val="8"/>
        </w:rPr>
        <w:t>GEO</w:t>
      </w:r>
      <w:r>
        <w:rPr>
          <w:rStyle w:val="any"/>
          <w:rFonts w:ascii="PMingLiU" w:eastAsia="PMingLiU" w:hAnsi="PMingLiU" w:cs="PMingLiU"/>
          <w:spacing w:val="8"/>
        </w:rPr>
        <w:t>）数据库，而缺氧和与凋亡相关的基因是从分子特征数据库（</w:t>
      </w:r>
      <w:r>
        <w:rPr>
          <w:rStyle w:val="any"/>
          <w:rFonts w:ascii="Times New Roman" w:eastAsia="Times New Roman" w:hAnsi="Times New Roman" w:cs="Times New Roman"/>
          <w:spacing w:val="8"/>
        </w:rPr>
        <w:t>MSIGDB</w:t>
      </w:r>
      <w:r>
        <w:rPr>
          <w:rStyle w:val="any"/>
          <w:rFonts w:ascii="PMingLiU" w:eastAsia="PMingLiU" w:hAnsi="PMingLiU" w:cs="PMingLiU"/>
          <w:spacing w:val="8"/>
        </w:rPr>
        <w:t>）获得的。使用单变量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多元</w:t>
      </w:r>
      <w:r>
        <w:rPr>
          <w:rStyle w:val="any"/>
          <w:rFonts w:ascii="Times New Roman" w:eastAsia="Times New Roman" w:hAnsi="Times New Roman" w:cs="Times New Roman"/>
          <w:spacing w:val="8"/>
        </w:rPr>
        <w:t>COX</w:t>
      </w:r>
      <w:r>
        <w:rPr>
          <w:rStyle w:val="any"/>
          <w:rFonts w:ascii="PMingLiU" w:eastAsia="PMingLiU" w:hAnsi="PMingLiU" w:cs="PMingLiU"/>
          <w:spacing w:val="8"/>
        </w:rPr>
        <w:t>回归，非负矩阵分解（</w:t>
      </w:r>
      <w:r>
        <w:rPr>
          <w:rStyle w:val="any"/>
          <w:rFonts w:ascii="Times New Roman" w:eastAsia="Times New Roman" w:hAnsi="Times New Roman" w:cs="Times New Roman"/>
          <w:spacing w:val="8"/>
        </w:rPr>
        <w:t>NMF</w:t>
      </w:r>
      <w:r>
        <w:rPr>
          <w:rStyle w:val="any"/>
          <w:rFonts w:ascii="PMingLiU" w:eastAsia="PMingLiU" w:hAnsi="PMingLiU" w:cs="PMingLiU"/>
          <w:spacing w:val="8"/>
        </w:rPr>
        <w:t>）聚类和</w:t>
      </w:r>
      <w:r>
        <w:rPr>
          <w:rStyle w:val="any"/>
          <w:rFonts w:ascii="Times New Roman" w:eastAsia="Times New Roman" w:hAnsi="Times New Roman" w:cs="Times New Roman"/>
          <w:spacing w:val="8"/>
        </w:rPr>
        <w:t>LASSO</w:t>
      </w:r>
      <w:r>
        <w:rPr>
          <w:rStyle w:val="any"/>
          <w:rFonts w:ascii="PMingLiU" w:eastAsia="PMingLiU" w:hAnsi="PMingLiU" w:cs="PMingLiU"/>
          <w:spacing w:val="8"/>
        </w:rPr>
        <w:t>回归开发了一种结合缺氧和凋亡基因的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种基因基因模型。根据中位风险评分，将患者分为高风险（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）和低风险（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）组。基因和基因组（</w:t>
      </w:r>
      <w:r>
        <w:rPr>
          <w:rStyle w:val="any"/>
          <w:rFonts w:ascii="Times New Roman" w:eastAsia="Times New Roman" w:hAnsi="Times New Roman" w:cs="Times New Roman"/>
          <w:spacing w:val="8"/>
        </w:rPr>
        <w:t>KEGG</w:t>
      </w:r>
      <w:r>
        <w:rPr>
          <w:rStyle w:val="any"/>
          <w:rFonts w:ascii="PMingLiU" w:eastAsia="PMingLiU" w:hAnsi="PMingLiU" w:cs="PMingLiU"/>
          <w:spacing w:val="8"/>
        </w:rPr>
        <w:t>）富集分析的基因本体论（</w:t>
      </w:r>
      <w:r>
        <w:rPr>
          <w:rStyle w:val="any"/>
          <w:rFonts w:ascii="Times New Roman" w:eastAsia="Times New Roman" w:hAnsi="Times New Roman" w:cs="Times New Roman"/>
          <w:spacing w:val="8"/>
        </w:rPr>
        <w:t>GO</w:t>
      </w:r>
      <w:r>
        <w:rPr>
          <w:rStyle w:val="any"/>
          <w:rFonts w:ascii="PMingLiU" w:eastAsia="PMingLiU" w:hAnsi="PMingLiU" w:cs="PMingLiU"/>
          <w:spacing w:val="8"/>
        </w:rPr>
        <w:t>）和京都百科全书揭示了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组之间的不同生物学过程，包括激素调节和脂质代谢途径。单样品基因集富集分析（</w:t>
      </w:r>
      <w:r>
        <w:rPr>
          <w:rStyle w:val="any"/>
          <w:rFonts w:ascii="Times New Roman" w:eastAsia="Times New Roman" w:hAnsi="Times New Roman" w:cs="Times New Roman"/>
          <w:spacing w:val="8"/>
        </w:rPr>
        <w:t>SSGSEA</w:t>
      </w:r>
      <w:r>
        <w:rPr>
          <w:rStyle w:val="any"/>
          <w:rFonts w:ascii="PMingLiU" w:eastAsia="PMingLiU" w:hAnsi="PMingLiU" w:cs="PMingLiU"/>
          <w:spacing w:val="8"/>
        </w:rPr>
        <w:t>）表明，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组中嗜中性粒细胞和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T_HELPER_CELL</w:t>
      </w:r>
      <w:r>
        <w:rPr>
          <w:rStyle w:val="any"/>
          <w:rFonts w:ascii="PMingLiU" w:eastAsia="PMingLiU" w:hAnsi="PMingLiU" w:cs="PMingLiU"/>
          <w:spacing w:val="8"/>
        </w:rPr>
        <w:t>的细胞浸润水平升高，而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</w:rPr>
        <w:t>NK</w:t>
      </w:r>
      <w:r>
        <w:rPr>
          <w:rStyle w:val="any"/>
          <w:rFonts w:ascii="PMingLiU" w:eastAsia="PMingLiU" w:hAnsi="PMingLiU" w:cs="PMingLiU"/>
          <w:spacing w:val="8"/>
        </w:rPr>
        <w:t>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Th1</w:t>
      </w:r>
      <w:r>
        <w:rPr>
          <w:rStyle w:val="any"/>
          <w:rFonts w:ascii="PMingLiU" w:eastAsia="PMingLiU" w:hAnsi="PMingLiU" w:cs="PMingLiU"/>
          <w:spacing w:val="8"/>
        </w:rPr>
        <w:t>细胞较高。免疫学（</w:t>
      </w:r>
      <w:r>
        <w:rPr>
          <w:rStyle w:val="any"/>
          <w:rFonts w:ascii="Times New Roman" w:eastAsia="Times New Roman" w:hAnsi="Times New Roman" w:cs="Times New Roman"/>
          <w:spacing w:val="8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）和肿瘤免疫功能障碍和排除（</w:t>
      </w:r>
      <w:r>
        <w:rPr>
          <w:rStyle w:val="any"/>
          <w:rFonts w:ascii="Times New Roman" w:eastAsia="Times New Roman" w:hAnsi="Times New Roman" w:cs="Times New Roman"/>
          <w:spacing w:val="8"/>
        </w:rPr>
        <w:t>TIDE</w:t>
      </w:r>
      <w:r>
        <w:rPr>
          <w:rStyle w:val="any"/>
          <w:rFonts w:ascii="PMingLiU" w:eastAsia="PMingLiU" w:hAnsi="PMingLiU" w:cs="PMingLiU"/>
          <w:spacing w:val="8"/>
        </w:rPr>
        <w:t>）分析表明，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组患者对免疫疗法的潜在益处。总之，这种整合与凋亡相关的基因的预后特征为预测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患者的生存，免疫状态和治疗反应提供了见解，为个性化治疗策略铺平了道路。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Mingfei Geng（音译：耿明飞），疑为</w:t>
      </w:r>
      <w:r>
        <w:rPr>
          <w:rStyle w:val="any"/>
          <w:rFonts w:ascii="微软雅黑" w:eastAsia="微软雅黑" w:hAnsi="微软雅黑" w:cs="微软雅黑"/>
          <w:spacing w:val="8"/>
        </w:rPr>
        <w:t>安阳市肿瘤医院胸三科副主任，担任安阳市胸心外科学会委员。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https://www.thieme-connect.de/products/ejournals/abstract/10.1055/a-2575-5491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4&amp;sn=3a83f3324b4d4ca7cfc478b836ac96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