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科研诚信风暴：湖南中医药大学发表的《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Cellular &amp; Molecular Biology Letters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19:00:41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75" w:after="0" w:line="42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近日，学术界再掀波澜。发表于《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Frontiers in Molecular Biosciences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》上的论文，题为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“Resveratrol Improves Mitochondrial Biogenesis Function and Activates PGC1α Pathway in a Preclinical Model of Early Brain Injury Following Subarachnoid Hemorrhage”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，陷入了抄袭争议。这篇由海南医学院第一附属医院及其他机构的研究团队撰写的论文，由于图表与其他研究存在重叠，引发了广泛关注。</w:t>
      </w:r>
    </w:p>
    <w:p>
      <w:pPr>
        <w:shd w:val="clear" w:color="auto" w:fill="FFFFFF"/>
        <w:spacing w:before="0" w:after="375" w:line="420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15"/>
          <w:sz w:val="21"/>
          <w:szCs w:val="21"/>
          <w:u w:val="none"/>
        </w:rPr>
        <w:drawing>
          <wp:inline>
            <wp:extent cx="5486400" cy="44323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4827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0AA85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65" w:right="465"/>
        <w:jc w:val="center"/>
        <w:rPr>
          <w:rStyle w:val="any"/>
          <w:rFonts w:ascii="Times New Roman" w:eastAsia="Times New Roman" w:hAnsi="Times New Roman" w:cs="Times New Roman"/>
          <w:color w:val="CCD553"/>
          <w:spacing w:val="30"/>
          <w:shd w:val="clear" w:color="auto" w:fill="FFFFFF"/>
        </w:rPr>
      </w:pPr>
      <w:r>
        <w:rPr>
          <w:rStyle w:val="any"/>
          <w:rFonts w:ascii="PMingLiU" w:eastAsia="PMingLiU" w:hAnsi="PMingLiU" w:cs="PMingLiU"/>
          <w:b/>
          <w:bCs/>
          <w:color w:val="2FC37F"/>
          <w:spacing w:val="30"/>
          <w:sz w:val="27"/>
          <w:szCs w:val="27"/>
          <w:shd w:val="clear" w:color="auto" w:fill="FFFFFF"/>
        </w:rPr>
        <w:t>引发质疑的图表重叠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75" w:after="0" w:line="42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年初，知名学者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René Aquarius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于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平台指出，该研究中的图表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Dai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等人的研究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(2022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中的图表有显著重合。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Aquarius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在评论中附上了对比图，并表示将向期刊反馈这一问题，以确保学术透明性。</w:t>
      </w:r>
    </w:p>
    <w:p>
      <w:pPr>
        <w:shd w:val="clear" w:color="auto" w:fill="FFFFFF"/>
        <w:spacing w:before="0" w:after="375" w:line="420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15"/>
          <w:sz w:val="21"/>
          <w:szCs w:val="21"/>
          <w:u w:val="none"/>
        </w:rPr>
        <w:drawing>
          <wp:inline>
            <wp:extent cx="5486400" cy="2273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47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0AA85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65" w:right="465"/>
        <w:jc w:val="center"/>
        <w:rPr>
          <w:rStyle w:val="any"/>
          <w:rFonts w:ascii="Times New Roman" w:eastAsia="Times New Roman" w:hAnsi="Times New Roman" w:cs="Times New Roman"/>
          <w:color w:val="CCD553"/>
          <w:spacing w:val="30"/>
          <w:shd w:val="clear" w:color="auto" w:fill="FFFFFF"/>
        </w:rPr>
      </w:pPr>
      <w:r>
        <w:rPr>
          <w:rStyle w:val="any"/>
          <w:rFonts w:ascii="PMingLiU" w:eastAsia="PMingLiU" w:hAnsi="PMingLiU" w:cs="PMingLiU"/>
          <w:b/>
          <w:bCs/>
          <w:color w:val="2FC37F"/>
          <w:spacing w:val="30"/>
          <w:sz w:val="27"/>
          <w:szCs w:val="27"/>
          <w:shd w:val="clear" w:color="auto" w:fill="FFFFFF"/>
        </w:rPr>
        <w:t>进一步的学术审查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75" w:after="0" w:line="42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不久后，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Aquarius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再次在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上提出相似的质疑，强调该论文与其他文献的图表重叠问题，并附上相关图例以示佐证。</w:t>
      </w:r>
    </w:p>
    <w:p>
      <w:pPr>
        <w:shd w:val="clear" w:color="auto" w:fill="FFFFFF"/>
        <w:spacing w:before="0" w:after="375" w:line="420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15"/>
          <w:sz w:val="21"/>
          <w:szCs w:val="21"/>
          <w:u w:val="none"/>
        </w:rPr>
        <w:drawing>
          <wp:inline>
            <wp:extent cx="5486400" cy="3695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617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0AA85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65" w:right="465"/>
        <w:jc w:val="center"/>
        <w:rPr>
          <w:rStyle w:val="any"/>
          <w:rFonts w:ascii="Times New Roman" w:eastAsia="Times New Roman" w:hAnsi="Times New Roman" w:cs="Times New Roman"/>
          <w:color w:val="CCD553"/>
          <w:spacing w:val="30"/>
          <w:shd w:val="clear" w:color="auto" w:fill="FFFFFF"/>
        </w:rPr>
      </w:pPr>
      <w:r>
        <w:rPr>
          <w:rStyle w:val="any"/>
          <w:rFonts w:ascii="PMingLiU" w:eastAsia="PMingLiU" w:hAnsi="PMingLiU" w:cs="PMingLiU"/>
          <w:b/>
          <w:bCs/>
          <w:color w:val="2FC37F"/>
          <w:spacing w:val="30"/>
          <w:sz w:val="27"/>
          <w:szCs w:val="27"/>
          <w:shd w:val="clear" w:color="auto" w:fill="FFFFFF"/>
        </w:rPr>
        <w:t>调查与处罚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75" w:after="375" w:line="42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月，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Actinopolyspora biskrensis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上指出，这篇论文已被中国国家自然科学基金会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(NSFC)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列入学术不端调查范畴。经过调查，发现论文中的图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3A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与另一篇论文的图像相同，作者无法提供原创证据。第一作者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Zhou Jian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不仅在调查中提供虚假陈述，还在基金申请时提交了未获资助的项目。最终，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NSFC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依据相关规定，对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>Zhou Jian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实施五年内禁止申请和参与基金项目的处罚，并给予通报批评。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375" w:after="375" w:line="420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color w:val="3E3E3E"/>
          <w:spacing w:val="15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color w:val="3E3E3E"/>
          <w:spacing w:val="15"/>
          <w:sz w:val="21"/>
          <w:szCs w:val="21"/>
        </w:rPr>
        <w:t>若认为本内容侵犯您的权益请及时联系我们</w:t>
      </w:r>
    </w:p>
    <w:p>
      <w:pPr>
        <w:shd w:val="clear" w:color="auto" w:fill="0AA857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65" w:right="465"/>
        <w:jc w:val="center"/>
        <w:rPr>
          <w:rStyle w:val="any"/>
          <w:rFonts w:ascii="Times New Roman" w:eastAsia="Times New Roman" w:hAnsi="Times New Roman" w:cs="Times New Roman"/>
          <w:color w:val="CCD553"/>
          <w:spacing w:val="30"/>
          <w:shd w:val="clear" w:color="auto" w:fill="FFFFFF"/>
        </w:rPr>
      </w:pPr>
      <w:r>
        <w:rPr>
          <w:rStyle w:val="any"/>
          <w:rFonts w:ascii="PMingLiU" w:eastAsia="PMingLiU" w:hAnsi="PMingLiU" w:cs="PMingLiU"/>
          <w:b/>
          <w:bCs/>
          <w:color w:val="2FC37F"/>
          <w:spacing w:val="30"/>
          <w:sz w:val="27"/>
          <w:szCs w:val="27"/>
          <w:shd w:val="clear" w:color="auto" w:fill="FFFFFF"/>
        </w:rPr>
        <w:t>欢迎积极投稿营造良好科研氛围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3143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4984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248&amp;idx=1&amp;sn=1daf9970f5eef760acccf7f426426f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