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结构复现揭露疑点？浙江省人民医院胸外科研究陷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08:48:53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Inorganica Chimica Acta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年发表的食管癌治疗研究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‘Copper complex@Paclitaxel: A new dual-functional fluorescent-responsive composite material and treatment on esophageal cancer cells’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铜配合物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@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紫杉醇：一种新型双功能荧光响应复合材料及其对食管癌细胞的作用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doi: 10.1016/j.ica.2024.122192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）陷入学术争议。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Peilin Zhu , Zhuonan Meng , Pengcheng Chen , Shuping Chu , Bin Wang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Cheng 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（通讯作者）共同完成，通讯单位为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浙江省人民医院肿瘤中心胸外科。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731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98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Sylvain Bernès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请允许我详细解释一下论文工厂是如何制造看似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合法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的单晶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射线结构数据的。本文以《</w:t>
      </w:r>
      <w:r>
        <w:rPr>
          <w:rStyle w:val="any"/>
          <w:rFonts w:ascii="Times New Roman" w:eastAsia="Times New Roman" w:hAnsi="Times New Roman" w:cs="Times New Roman"/>
          <w:spacing w:val="8"/>
        </w:rPr>
        <w:t>Inorganica Chimica Acta</w:t>
      </w:r>
      <w:r>
        <w:rPr>
          <w:rStyle w:val="any"/>
          <w:rFonts w:ascii="PMingLiU" w:eastAsia="PMingLiU" w:hAnsi="PMingLiU" w:cs="PMingLiU"/>
          <w:spacing w:val="8"/>
        </w:rPr>
        <w:t>》发表的一篇包含</w:t>
      </w:r>
      <w:r>
        <w:rPr>
          <w:rStyle w:val="any"/>
          <w:rFonts w:ascii="Times New Roman" w:eastAsia="Times New Roman" w:hAnsi="Times New Roman" w:cs="Times New Roman"/>
          <w:spacing w:val="8"/>
        </w:rPr>
        <w:t>Cu(II)</w:t>
      </w:r>
      <w:r>
        <w:rPr>
          <w:rStyle w:val="any"/>
          <w:rFonts w:ascii="PMingLiU" w:eastAsia="PMingLiU" w:hAnsi="PMingLiU" w:cs="PMingLiU"/>
          <w:spacing w:val="8"/>
        </w:rPr>
        <w:t>配合物结构的文章为例，我认为是一个很好的说明。任何经常使用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SHELXL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OLEX2 </w:t>
      </w:r>
      <w:r>
        <w:rPr>
          <w:rStyle w:val="any"/>
          <w:rFonts w:ascii="PMingLiU" w:eastAsia="PMingLiU" w:hAnsi="PMingLiU" w:cs="PMingLiU"/>
          <w:spacing w:val="8"/>
        </w:rPr>
        <w:t>的结构化学研究者，都可以复现下面所描述的每一个步骤。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1. </w:t>
      </w:r>
      <w:r>
        <w:rPr>
          <w:rStyle w:val="any"/>
          <w:rFonts w:ascii="PMingLiU" w:eastAsia="PMingLiU" w:hAnsi="PMingLiU" w:cs="PMingLiU"/>
          <w:spacing w:val="8"/>
        </w:rPr>
        <w:t>关于该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Cu(II) </w:t>
      </w:r>
      <w:r>
        <w:rPr>
          <w:rStyle w:val="any"/>
          <w:rFonts w:ascii="PMingLiU" w:eastAsia="PMingLiU" w:hAnsi="PMingLiU" w:cs="PMingLiU"/>
          <w:spacing w:val="8"/>
        </w:rPr>
        <w:t>配合物结构：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Cu(II) </w:t>
      </w:r>
      <w:r>
        <w:rPr>
          <w:rStyle w:val="any"/>
          <w:rFonts w:ascii="PMingLiU" w:eastAsia="PMingLiU" w:hAnsi="PMingLiU" w:cs="PMingLiU"/>
          <w:spacing w:val="8"/>
        </w:rPr>
        <w:t>结构已被提交至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CCDC</w:t>
      </w:r>
      <w:r>
        <w:rPr>
          <w:rStyle w:val="any"/>
          <w:rFonts w:ascii="PMingLiU" w:eastAsia="PMingLiU" w:hAnsi="PMingLiU" w:cs="PMingLiU"/>
          <w:spacing w:val="8"/>
        </w:rPr>
        <w:t>，编号为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2165406 / VUDJEN</w:t>
      </w:r>
      <w:r>
        <w:rPr>
          <w:rStyle w:val="any"/>
          <w:rFonts w:ascii="PMingLiU" w:eastAsia="PMingLiU" w:hAnsi="PMingLiU" w:cs="PMingLiU"/>
          <w:spacing w:val="8"/>
        </w:rPr>
        <w:t>。然而，未提供结构因子（</w:t>
      </w:r>
      <w:r>
        <w:rPr>
          <w:rStyle w:val="any"/>
          <w:rFonts w:ascii="Times New Roman" w:eastAsia="Times New Roman" w:hAnsi="Times New Roman" w:cs="Times New Roman"/>
          <w:spacing w:val="8"/>
        </w:rPr>
        <w:t>structure factors</w:t>
      </w:r>
      <w:r>
        <w:rPr>
          <w:rStyle w:val="any"/>
          <w:rFonts w:ascii="PMingLiU" w:eastAsia="PMingLiU" w:hAnsi="PMingLiU" w:cs="PMingLiU"/>
          <w:spacing w:val="8"/>
        </w:rPr>
        <w:t>）。考虑到该结构发表已经超过一年，这本身就是一个非常、非常严重的警示信号。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2. </w:t>
      </w:r>
      <w:r>
        <w:rPr>
          <w:rStyle w:val="any"/>
          <w:rFonts w:ascii="PMingLiU" w:eastAsia="PMingLiU" w:hAnsi="PMingLiU" w:cs="PMingLiU"/>
          <w:spacing w:val="8"/>
        </w:rPr>
        <w:t>检索晶体结构数据库（</w:t>
      </w:r>
      <w:r>
        <w:rPr>
          <w:rStyle w:val="any"/>
          <w:rFonts w:ascii="Times New Roman" w:eastAsia="Times New Roman" w:hAnsi="Times New Roman" w:cs="Times New Roman"/>
          <w:spacing w:val="8"/>
        </w:rPr>
        <w:t>CSD</w:t>
      </w:r>
      <w:r>
        <w:rPr>
          <w:rStyle w:val="any"/>
          <w:rFonts w:ascii="PMingLiU" w:eastAsia="PMingLiU" w:hAnsi="PMingLiU" w:cs="PMingLiU"/>
          <w:spacing w:val="8"/>
        </w:rPr>
        <w:t>）：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CSD </w:t>
      </w:r>
      <w:r>
        <w:rPr>
          <w:rStyle w:val="any"/>
          <w:rFonts w:ascii="PMingLiU" w:eastAsia="PMingLiU" w:hAnsi="PMingLiU" w:cs="PMingLiU"/>
          <w:spacing w:val="8"/>
        </w:rPr>
        <w:t>中使用晶胞参数（该结构为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P-1 </w:t>
      </w:r>
      <w:r>
        <w:rPr>
          <w:rStyle w:val="any"/>
          <w:rFonts w:ascii="PMingLiU" w:eastAsia="PMingLiU" w:hAnsi="PMingLiU" w:cs="PMingLiU"/>
          <w:spacing w:val="8"/>
        </w:rPr>
        <w:t>晶系）进行搜索发现：一个几乎相同的化合物，但其中金属中心为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Zn(II)</w:t>
      </w:r>
      <w:r>
        <w:rPr>
          <w:rStyle w:val="any"/>
          <w:rFonts w:ascii="PMingLiU" w:eastAsia="PMingLiU" w:hAnsi="PMingLiU" w:cs="PMingLiU"/>
          <w:spacing w:val="8"/>
        </w:rPr>
        <w:t>，早在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</w:t>
      </w:r>
      <w:r>
        <w:rPr>
          <w:rStyle w:val="any"/>
          <w:rFonts w:ascii="PMingLiU" w:eastAsia="PMingLiU" w:hAnsi="PMingLiU" w:cs="PMingLiU"/>
          <w:spacing w:val="8"/>
        </w:rPr>
        <w:t>年已发表于《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Solid State Chemistry</w:t>
      </w:r>
      <w:r>
        <w:rPr>
          <w:rStyle w:val="any"/>
          <w:rFonts w:ascii="PMingLiU" w:eastAsia="PMingLiU" w:hAnsi="PMingLiU" w:cs="PMingLiU"/>
          <w:spacing w:val="8"/>
        </w:rPr>
        <w:t>》。该结构的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Cif </w:t>
      </w:r>
      <w:r>
        <w:rPr>
          <w:rStyle w:val="any"/>
          <w:rFonts w:ascii="PMingLiU" w:eastAsia="PMingLiU" w:hAnsi="PMingLiU" w:cs="PMingLiU"/>
          <w:spacing w:val="8"/>
        </w:rPr>
        <w:t>文件（包括结构因子）可以获得，编号为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CCDC-2040743 / EVORUF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EVORUF </w:t>
      </w:r>
      <w:r>
        <w:rPr>
          <w:rStyle w:val="any"/>
          <w:rFonts w:ascii="PMingLiU" w:eastAsia="PMingLiU" w:hAnsi="PMingLiU" w:cs="PMingLiU"/>
          <w:spacing w:val="8"/>
        </w:rPr>
        <w:t>的晶胞参数与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VUDJEN </w:t>
      </w:r>
      <w:r>
        <w:rPr>
          <w:rStyle w:val="any"/>
          <w:rFonts w:ascii="PMingLiU" w:eastAsia="PMingLiU" w:hAnsi="PMingLiU" w:cs="PMingLiU"/>
          <w:spacing w:val="8"/>
        </w:rPr>
        <w:t>不同，但相似。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3. </w:t>
      </w:r>
      <w:r>
        <w:rPr>
          <w:rStyle w:val="any"/>
          <w:rFonts w:ascii="PMingLiU" w:eastAsia="PMingLiU" w:hAnsi="PMingLiU" w:cs="PMingLiU"/>
          <w:spacing w:val="8"/>
        </w:rPr>
        <w:t>对比两个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Cif </w:t>
      </w:r>
      <w:r>
        <w:rPr>
          <w:rStyle w:val="any"/>
          <w:rFonts w:ascii="PMingLiU" w:eastAsia="PMingLiU" w:hAnsi="PMingLiU" w:cs="PMingLiU"/>
          <w:spacing w:val="8"/>
        </w:rPr>
        <w:t>文件后发现：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对比两个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Cif </w:t>
      </w:r>
      <w:r>
        <w:rPr>
          <w:rStyle w:val="any"/>
          <w:rFonts w:ascii="PMingLiU" w:eastAsia="PMingLiU" w:hAnsi="PMingLiU" w:cs="PMingLiU"/>
          <w:spacing w:val="8"/>
        </w:rPr>
        <w:t>文件，揭示了很多信息。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首先，这两个晶体用于衍射的数据中，晶体尺寸完全一致。这或许是巧合，但已经值得注意。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更令人担忧的是：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Zn(II) </w:t>
      </w:r>
      <w:r>
        <w:rPr>
          <w:rStyle w:val="any"/>
          <w:rFonts w:ascii="PMingLiU" w:eastAsia="PMingLiU" w:hAnsi="PMingLiU" w:cs="PMingLiU"/>
          <w:spacing w:val="8"/>
        </w:rPr>
        <w:t>的结构（</w:t>
      </w:r>
      <w:r>
        <w:rPr>
          <w:rStyle w:val="any"/>
          <w:rFonts w:ascii="Times New Roman" w:eastAsia="Times New Roman" w:hAnsi="Times New Roman" w:cs="Times New Roman"/>
          <w:spacing w:val="8"/>
        </w:rPr>
        <w:t>EVORUF</w:t>
      </w:r>
      <w:r>
        <w:rPr>
          <w:rStyle w:val="any"/>
          <w:rFonts w:ascii="PMingLiU" w:eastAsia="PMingLiU" w:hAnsi="PMingLiU" w:cs="PMingLiU"/>
          <w:spacing w:val="8"/>
        </w:rPr>
        <w:t>）包含一个失序区域。具体来说，不对称单元中的一个三唑环在两个位置上失序，占据比为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0.64:0.36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在精修这个失序结构时，作者使用了一套非常具体的约束参数（共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个），用于键长与环平面性控制（在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SHELXL </w:t>
      </w:r>
      <w:r>
        <w:rPr>
          <w:rStyle w:val="any"/>
          <w:rFonts w:ascii="PMingLiU" w:eastAsia="PMingLiU" w:hAnsi="PMingLiU" w:cs="PMingLiU"/>
          <w:spacing w:val="8"/>
        </w:rPr>
        <w:t>中用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DFIX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FLAT </w:t>
      </w:r>
      <w:r>
        <w:rPr>
          <w:rStyle w:val="any"/>
          <w:rFonts w:ascii="PMingLiU" w:eastAsia="PMingLiU" w:hAnsi="PMingLiU" w:cs="PMingLiU"/>
          <w:spacing w:val="8"/>
        </w:rPr>
        <w:t>命令实现）。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Cu(II) </w:t>
      </w:r>
      <w:r>
        <w:rPr>
          <w:rStyle w:val="any"/>
          <w:rFonts w:ascii="PMingLiU" w:eastAsia="PMingLiU" w:hAnsi="PMingLiU" w:cs="PMingLiU"/>
          <w:spacing w:val="8"/>
        </w:rPr>
        <w:t>配合物的结构精修，使用了完全相同的一套约束参数。不仅命令完全一致，标准偏差（</w:t>
      </w:r>
      <w:r>
        <w:rPr>
          <w:rStyle w:val="any"/>
          <w:rFonts w:ascii="Times New Roman" w:eastAsia="Times New Roman" w:hAnsi="Times New Roman" w:cs="Times New Roman"/>
          <w:spacing w:val="8"/>
        </w:rPr>
        <w:t>standard deviations</w:t>
      </w:r>
      <w:r>
        <w:rPr>
          <w:rStyle w:val="any"/>
          <w:rFonts w:ascii="PMingLiU" w:eastAsia="PMingLiU" w:hAnsi="PMingLiU" w:cs="PMingLiU"/>
          <w:spacing w:val="8"/>
        </w:rPr>
        <w:t>）也完全相同，甚至对失序三唑环的标号系统也一样。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这一切很难被解释为巧合。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6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65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4. </w:t>
      </w:r>
      <w:r>
        <w:rPr>
          <w:rStyle w:val="any"/>
          <w:rFonts w:ascii="PMingLiU" w:eastAsia="PMingLiU" w:hAnsi="PMingLiU" w:cs="PMingLiU"/>
          <w:spacing w:val="8"/>
        </w:rPr>
        <w:t>现在，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Cu(II) </w:t>
      </w:r>
      <w:r>
        <w:rPr>
          <w:rStyle w:val="any"/>
          <w:rFonts w:ascii="PMingLiU" w:eastAsia="PMingLiU" w:hAnsi="PMingLiU" w:cs="PMingLiU"/>
          <w:spacing w:val="8"/>
        </w:rPr>
        <w:t>结构与原始的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</w:rPr>
        <w:t>结构在许多实验参数上存在差异：收集到的反射数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/ </w:t>
      </w:r>
      <w:r>
        <w:rPr>
          <w:rStyle w:val="any"/>
          <w:rFonts w:ascii="PMingLiU" w:eastAsia="PMingLiU" w:hAnsi="PMingLiU" w:cs="PMingLiU"/>
          <w:spacing w:val="8"/>
        </w:rPr>
        <w:t>独立反射数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/ </w:t>
      </w:r>
      <w:r>
        <w:rPr>
          <w:rStyle w:val="any"/>
          <w:rFonts w:ascii="PMingLiU" w:eastAsia="PMingLiU" w:hAnsi="PMingLiU" w:cs="PMingLiU"/>
          <w:spacing w:val="8"/>
        </w:rPr>
        <w:t>可观察反射数、</w:t>
      </w:r>
      <w:r>
        <w:rPr>
          <w:rStyle w:val="any"/>
          <w:rFonts w:ascii="Times New Roman" w:eastAsia="Times New Roman" w:hAnsi="Times New Roman" w:cs="Times New Roman"/>
          <w:spacing w:val="8"/>
        </w:rPr>
        <w:t>R(int)</w:t>
      </w:r>
      <w:r>
        <w:rPr>
          <w:rStyle w:val="any"/>
          <w:rFonts w:ascii="PMingLiU" w:eastAsia="PMingLiU" w:hAnsi="PMingLiU" w:cs="PMingLiU"/>
          <w:spacing w:val="8"/>
        </w:rPr>
        <w:t>、精修残差（</w:t>
      </w:r>
      <w:r>
        <w:rPr>
          <w:rStyle w:val="any"/>
          <w:rFonts w:ascii="Times New Roman" w:eastAsia="Times New Roman" w:hAnsi="Times New Roman" w:cs="Times New Roman"/>
          <w:spacing w:val="8"/>
        </w:rPr>
        <w:t>R residuals</w:t>
      </w:r>
      <w:r>
        <w:rPr>
          <w:rStyle w:val="any"/>
          <w:rFonts w:ascii="PMingLiU" w:eastAsia="PMingLiU" w:hAnsi="PMingLiU" w:cs="PMingLiU"/>
          <w:spacing w:val="8"/>
        </w:rPr>
        <w:t>）等。这是因为使用了来自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</w:rPr>
        <w:t>结构的结构因子，但数据分辨率不同，为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0.84 ?</w:t>
      </w:r>
      <w:r>
        <w:rPr>
          <w:rStyle w:val="any"/>
          <w:rFonts w:ascii="PMingLiU" w:eastAsia="PMingLiU" w:hAnsi="PMingLiU" w:cs="PMingLiU"/>
          <w:spacing w:val="8"/>
        </w:rPr>
        <w:t>，而原始数据集为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0.74 ?</w:t>
      </w:r>
      <w:r>
        <w:rPr>
          <w:rStyle w:val="any"/>
          <w:rFonts w:ascii="PMingLiU" w:eastAsia="PMingLiU" w:hAnsi="PMingLiU" w:cs="PMingLiU"/>
          <w:spacing w:val="8"/>
        </w:rPr>
        <w:t>。要复现这场造假，我们只需要按如下步骤操作：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使用已公开的结构因子（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EVORUF </w:t>
      </w:r>
      <w:r>
        <w:rPr>
          <w:rStyle w:val="any"/>
          <w:rFonts w:ascii="PMingLiU" w:eastAsia="PMingLiU" w:hAnsi="PMingLiU" w:cs="PMingLiU"/>
          <w:spacing w:val="8"/>
        </w:rPr>
        <w:t>中提供）对原始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</w:rPr>
        <w:t>结构进行精修；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在模型中将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Zn </w:t>
      </w:r>
      <w:r>
        <w:rPr>
          <w:rStyle w:val="any"/>
          <w:rFonts w:ascii="PMingLiU" w:eastAsia="PMingLiU" w:hAnsi="PMingLiU" w:cs="PMingLiU"/>
          <w:spacing w:val="8"/>
        </w:rPr>
        <w:t>替换为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Cu</w:t>
      </w:r>
      <w:r>
        <w:rPr>
          <w:rStyle w:val="any"/>
          <w:rFonts w:ascii="PMingLiU" w:eastAsia="PMingLiU" w:hAnsi="PMingLiU" w:cs="PMingLiU"/>
          <w:spacing w:val="8"/>
        </w:rPr>
        <w:t>，并根据伪造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Cu(II) </w:t>
      </w:r>
      <w:r>
        <w:rPr>
          <w:rStyle w:val="any"/>
          <w:rFonts w:ascii="PMingLiU" w:eastAsia="PMingLiU" w:hAnsi="PMingLiU" w:cs="PMingLiU"/>
          <w:spacing w:val="8"/>
        </w:rPr>
        <w:t>结构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VUDJEN </w:t>
      </w:r>
      <w:r>
        <w:rPr>
          <w:rStyle w:val="any"/>
          <w:rFonts w:ascii="PMingLiU" w:eastAsia="PMingLiU" w:hAnsi="PMingLiU" w:cs="PMingLiU"/>
          <w:spacing w:val="8"/>
        </w:rPr>
        <w:t>的晶胞参数修改晶胞参数；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将数据分辨率降低到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0.84 ?</w:t>
      </w:r>
      <w:r>
        <w:rPr>
          <w:rStyle w:val="any"/>
          <w:rFonts w:ascii="PMingLiU" w:eastAsia="PMingLiU" w:hAnsi="PMingLiU" w:cs="PMingLiU"/>
          <w:spacing w:val="8"/>
        </w:rPr>
        <w:t>（在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SHELX </w:t>
      </w:r>
      <w:r>
        <w:rPr>
          <w:rStyle w:val="any"/>
          <w:rFonts w:ascii="PMingLiU" w:eastAsia="PMingLiU" w:hAnsi="PMingLiU" w:cs="PMingLiU"/>
          <w:spacing w:val="8"/>
        </w:rPr>
        <w:t>中使用命令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SHEL 100 0.84</w:t>
      </w:r>
      <w:r>
        <w:rPr>
          <w:rStyle w:val="any"/>
          <w:rFonts w:ascii="PMingLiU" w:eastAsia="PMingLiU" w:hAnsi="PMingLiU" w:cs="PMingLiU"/>
          <w:spacing w:val="8"/>
        </w:rPr>
        <w:t>）；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进行精修。由于分辨率已被修改，因此应优化加权方案（</w:t>
      </w:r>
      <w:r>
        <w:rPr>
          <w:rStyle w:val="any"/>
          <w:rFonts w:ascii="Times New Roman" w:eastAsia="Times New Roman" w:hAnsi="Times New Roman" w:cs="Times New Roman"/>
          <w:spacing w:val="8"/>
        </w:rPr>
        <w:t>weighting scheme</w:t>
      </w:r>
      <w:r>
        <w:rPr>
          <w:rStyle w:val="any"/>
          <w:rFonts w:ascii="PMingLiU" w:eastAsia="PMingLiU" w:hAnsi="PMingLiU" w:cs="PMingLiU"/>
          <w:spacing w:val="8"/>
        </w:rPr>
        <w:t>）。需要注意的是，失序部分的占据率是通过自由变量（</w:t>
      </w:r>
      <w:r>
        <w:rPr>
          <w:rStyle w:val="any"/>
          <w:rFonts w:ascii="Times New Roman" w:eastAsia="Times New Roman" w:hAnsi="Times New Roman" w:cs="Times New Roman"/>
          <w:spacing w:val="8"/>
        </w:rPr>
        <w:t>FVAR</w:t>
      </w:r>
      <w:r>
        <w:rPr>
          <w:rStyle w:val="any"/>
          <w:rFonts w:ascii="PMingLiU" w:eastAsia="PMingLiU" w:hAnsi="PMingLiU" w:cs="PMingLiU"/>
          <w:spacing w:val="8"/>
        </w:rPr>
        <w:t>）定义的，因此这些占据率也将被精修；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在精修收敛后，将所生成的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Cif </w:t>
      </w:r>
      <w:r>
        <w:rPr>
          <w:rStyle w:val="any"/>
          <w:rFonts w:ascii="PMingLiU" w:eastAsia="PMingLiU" w:hAnsi="PMingLiU" w:cs="PMingLiU"/>
          <w:spacing w:val="8"/>
        </w:rPr>
        <w:t>文件与发表在《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Inorg. Chim. Acta</w:t>
      </w:r>
      <w:r>
        <w:rPr>
          <w:rStyle w:val="any"/>
          <w:rFonts w:ascii="PMingLiU" w:eastAsia="PMingLiU" w:hAnsi="PMingLiU" w:cs="PMingLiU"/>
          <w:spacing w:val="8"/>
        </w:rPr>
        <w:t>》文章中附带的伪造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Cif </w:t>
      </w:r>
      <w:r>
        <w:rPr>
          <w:rStyle w:val="any"/>
          <w:rFonts w:ascii="PMingLiU" w:eastAsia="PMingLiU" w:hAnsi="PMingLiU" w:cs="PMingLiU"/>
          <w:spacing w:val="8"/>
        </w:rPr>
        <w:t>进行比较。此时，所有参数完全一致。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换句话说，这种造假是可以复现的。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1462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67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值得注意的是，失序三唑环的原子占据率也被还原出来了。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9583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10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5.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最后，结构部分通常会进行描述。这通常通过一个拙劣的改写来完成，并且结构参数并不会根据新的精修结果进行更新。这就导致出现荒谬的几何参数，例如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Zn—N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Cu—N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的键长完全相同（见下图）。这样的改写还经常包含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奇怪的用词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。在本例中，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三角双锥配位构型（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triangular bipyramid coordination configuration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被改写为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三角双锥配位骨架（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triangular biconical coordination skeleton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1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74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https://pubpeer.com/publications/094CE5A732B855E80619BD0D3B6EE7#0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43050" cy="15525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10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浙江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浙江省人民医院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707843494225182720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684&amp;idx=6&amp;sn=7a07d50b5fc79e88ea1bc560f25d366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