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重庆医科大学第二附院</w:t>
        </w:r>
        <w:r>
          <w:rPr>
            <w:rStyle w:val="a"/>
            <w:rFonts w:ascii="Times New Roman" w:eastAsia="Times New Roman" w:hAnsi="Times New Roman" w:cs="Times New Roman"/>
            <w:b w:val="0"/>
            <w:bCs w:val="0"/>
            <w:spacing w:val="8"/>
          </w:rPr>
          <w:t>Oncotarget</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2025-04-09 22:04:17</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8018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71285" name=""/>
                    <pic:cNvPicPr>
                      <a:picLocks noChangeAspect="1"/>
                    </pic:cNvPicPr>
                  </pic:nvPicPr>
                  <pic:blipFill>
                    <a:blip xmlns:r="http://schemas.openxmlformats.org/officeDocument/2006/relationships" r:embed="rId6"/>
                    <a:stretch>
                      <a:fillRect/>
                    </a:stretch>
                  </pic:blipFill>
                  <pic:spPr>
                    <a:xfrm>
                      <a:off x="0" y="0"/>
                      <a:ext cx="5486400" cy="25801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Upregulated in Hepatitis B virus-associated hepatocellular carcinoma cells, miR-331-3p promotes proliferation of hepatocellular carcinoma cells by targeting ING5</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Oncotarget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重庆医科大学第二附属医院&amp;浙江大学感染病诊断与治疗协同创新中心</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2015年11月10日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10.18632/oncotarget.5642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jc w:val="both"/>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val="0"/>
          <w:bCs w:val="0"/>
          <w:i w:val="0"/>
          <w:iCs w:val="0"/>
          <w:caps w:val="0"/>
          <w:color w:val="212121"/>
          <w:spacing w:val="0"/>
          <w:sz w:val="21"/>
          <w:szCs w:val="21"/>
        </w:rPr>
        <w:t>Hepatitis B virus (HBV) is a major risk factor for development and progression of hepatocellular carcinoma (HCC). It has been reported that viral infection can interfere with cellular microRNA (miRNA) expression and participate in the pathogenesis of oncogenicity. Our miRNAs array data indicated that miR-331-3p expression in HCC cell lines increased, but the relationship between miR-331-3p expression and HBV activity is unclear. Here, we observed elevated expression of miR-331-3p in different HCC cell lines expressing HBV. HBV, especially HBx, promotes miR-331-3p expression by enhancing its promoter activity. Using a miRNA target prediction database miRBase, we identified ING5 to be a novel target gene of miR-331-3p. miR-331-3p could inhibit ING5 expression by directly targeting its 3'-untranslated region (3'-UTR). As predicted, HBV was confirmed to repress ING5 at both mRNA and protein levels by promoting miR-331-3p expression. Our result indicated that miR-331-3p expression promotes proliferation of SMMC7721 cells by inhibiting ING5. ING5 overexpression promoted cell apoptosis in HCC cell lines. We also found ING5 expression was decreased in tumor tissue of HCC patient with HBV infection compared to its expression in para-carcinoma tissues.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乙型肝炎病毒（</w:t>
      </w:r>
      <w:r>
        <w:rPr>
          <w:rStyle w:val="any"/>
          <w:rFonts w:ascii="Segoe UI" w:eastAsia="Segoe UI" w:hAnsi="Segoe UI" w:cs="Segoe UI"/>
          <w:b w:val="0"/>
          <w:bCs w:val="0"/>
          <w:i w:val="0"/>
          <w:iCs w:val="0"/>
          <w:caps w:val="0"/>
          <w:color w:val="212121"/>
          <w:spacing w:val="0"/>
          <w:sz w:val="21"/>
          <w:szCs w:val="21"/>
          <w:lang w:val="zh-CN" w:eastAsia="zh-CN"/>
        </w:rPr>
        <w:t>HBV</w:t>
      </w:r>
      <w:r>
        <w:rPr>
          <w:rStyle w:val="any"/>
          <w:rFonts w:ascii="PMingLiU" w:eastAsia="PMingLiU" w:hAnsi="PMingLiU" w:cs="PMingLiU"/>
          <w:b w:val="0"/>
          <w:bCs w:val="0"/>
          <w:i w:val="0"/>
          <w:iCs w:val="0"/>
          <w:caps w:val="0"/>
          <w:color w:val="212121"/>
          <w:spacing w:val="0"/>
          <w:sz w:val="21"/>
          <w:szCs w:val="21"/>
          <w:lang w:val="zh-CN" w:eastAsia="zh-CN"/>
        </w:rPr>
        <w:t>）是肝细胞癌（</w:t>
      </w:r>
      <w:r>
        <w:rPr>
          <w:rStyle w:val="any"/>
          <w:rFonts w:ascii="Segoe UI" w:eastAsia="Segoe UI" w:hAnsi="Segoe UI" w:cs="Segoe UI"/>
          <w:b w:val="0"/>
          <w:bCs w:val="0"/>
          <w:i w:val="0"/>
          <w:iCs w:val="0"/>
          <w:caps w:val="0"/>
          <w:color w:val="212121"/>
          <w:spacing w:val="0"/>
          <w:sz w:val="21"/>
          <w:szCs w:val="21"/>
          <w:lang w:val="zh-CN" w:eastAsia="zh-CN"/>
        </w:rPr>
        <w:t>HCC</w:t>
      </w:r>
      <w:r>
        <w:rPr>
          <w:rStyle w:val="any"/>
          <w:rFonts w:ascii="PMingLiU" w:eastAsia="PMingLiU" w:hAnsi="PMingLiU" w:cs="PMingLiU"/>
          <w:b w:val="0"/>
          <w:bCs w:val="0"/>
          <w:i w:val="0"/>
          <w:iCs w:val="0"/>
          <w:caps w:val="0"/>
          <w:color w:val="212121"/>
          <w:spacing w:val="0"/>
          <w:sz w:val="21"/>
          <w:szCs w:val="21"/>
          <w:lang w:val="zh-CN" w:eastAsia="zh-CN"/>
        </w:rPr>
        <w:t>）发生和进展的主要危险因素。已有报道指出，病毒感染可干扰细胞</w:t>
      </w:r>
      <w:r>
        <w:rPr>
          <w:rStyle w:val="any"/>
          <w:rFonts w:ascii="Segoe UI" w:eastAsia="Segoe UI" w:hAnsi="Segoe UI" w:cs="Segoe UI"/>
          <w:b w:val="0"/>
          <w:bCs w:val="0"/>
          <w:i w:val="0"/>
          <w:iCs w:val="0"/>
          <w:caps w:val="0"/>
          <w:color w:val="212121"/>
          <w:spacing w:val="0"/>
          <w:sz w:val="21"/>
          <w:szCs w:val="21"/>
          <w:lang w:val="zh-CN" w:eastAsia="zh-CN"/>
        </w:rPr>
        <w:t xml:space="preserve"> microRNA</w:t>
      </w:r>
      <w:r>
        <w:rPr>
          <w:rStyle w:val="any"/>
          <w:rFonts w:ascii="PMingLiU" w:eastAsia="PMingLiU" w:hAnsi="PMingLiU" w:cs="PMingLiU"/>
          <w:b w:val="0"/>
          <w:bCs w:val="0"/>
          <w:i w:val="0"/>
          <w:iCs w:val="0"/>
          <w:caps w:val="0"/>
          <w:color w:val="212121"/>
          <w:spacing w:val="0"/>
          <w:sz w:val="21"/>
          <w:szCs w:val="21"/>
          <w:lang w:val="zh-CN" w:eastAsia="zh-CN"/>
        </w:rPr>
        <w:t>（</w:t>
      </w:r>
      <w:r>
        <w:rPr>
          <w:rStyle w:val="any"/>
          <w:rFonts w:ascii="Segoe UI" w:eastAsia="Segoe UI" w:hAnsi="Segoe UI" w:cs="Segoe UI"/>
          <w:b w:val="0"/>
          <w:bCs w:val="0"/>
          <w:i w:val="0"/>
          <w:iCs w:val="0"/>
          <w:caps w:val="0"/>
          <w:color w:val="212121"/>
          <w:spacing w:val="0"/>
          <w:sz w:val="21"/>
          <w:szCs w:val="21"/>
          <w:lang w:val="zh-CN" w:eastAsia="zh-CN"/>
        </w:rPr>
        <w:t>miRNA</w:t>
      </w:r>
      <w:r>
        <w:rPr>
          <w:rStyle w:val="any"/>
          <w:rFonts w:ascii="PMingLiU" w:eastAsia="PMingLiU" w:hAnsi="PMingLiU" w:cs="PMingLiU"/>
          <w:b w:val="0"/>
          <w:bCs w:val="0"/>
          <w:i w:val="0"/>
          <w:iCs w:val="0"/>
          <w:caps w:val="0"/>
          <w:color w:val="212121"/>
          <w:spacing w:val="0"/>
          <w:sz w:val="21"/>
          <w:szCs w:val="21"/>
          <w:lang w:val="zh-CN" w:eastAsia="zh-CN"/>
        </w:rPr>
        <w:t>）表达并参与肿瘤发生发展的病理机制。我们的</w:t>
      </w:r>
      <w:r>
        <w:rPr>
          <w:rStyle w:val="any"/>
          <w:rFonts w:ascii="Segoe UI" w:eastAsia="Segoe UI" w:hAnsi="Segoe UI" w:cs="Segoe UI"/>
          <w:b w:val="0"/>
          <w:bCs w:val="0"/>
          <w:i w:val="0"/>
          <w:iCs w:val="0"/>
          <w:caps w:val="0"/>
          <w:color w:val="212121"/>
          <w:spacing w:val="0"/>
          <w:sz w:val="21"/>
          <w:szCs w:val="21"/>
          <w:lang w:val="zh-CN" w:eastAsia="zh-CN"/>
        </w:rPr>
        <w:t xml:space="preserve"> miRNAs </w:t>
      </w:r>
      <w:r>
        <w:rPr>
          <w:rStyle w:val="any"/>
          <w:rFonts w:ascii="PMingLiU" w:eastAsia="PMingLiU" w:hAnsi="PMingLiU" w:cs="PMingLiU"/>
          <w:b w:val="0"/>
          <w:bCs w:val="0"/>
          <w:i w:val="0"/>
          <w:iCs w:val="0"/>
          <w:caps w:val="0"/>
          <w:color w:val="212121"/>
          <w:spacing w:val="0"/>
          <w:sz w:val="21"/>
          <w:szCs w:val="21"/>
          <w:lang w:val="zh-CN" w:eastAsia="zh-CN"/>
        </w:rPr>
        <w:t>芯片数据表明，</w:t>
      </w:r>
      <w:r>
        <w:rPr>
          <w:rStyle w:val="any"/>
          <w:rFonts w:ascii="Segoe UI" w:eastAsia="Segoe UI" w:hAnsi="Segoe UI" w:cs="Segoe UI"/>
          <w:b w:val="0"/>
          <w:bCs w:val="0"/>
          <w:i w:val="0"/>
          <w:iCs w:val="0"/>
          <w:caps w:val="0"/>
          <w:color w:val="212121"/>
          <w:spacing w:val="0"/>
          <w:sz w:val="21"/>
          <w:szCs w:val="21"/>
          <w:lang w:val="zh-CN" w:eastAsia="zh-CN"/>
        </w:rPr>
        <w:t xml:space="preserve">HCC </w:t>
      </w:r>
      <w:r>
        <w:rPr>
          <w:rStyle w:val="any"/>
          <w:rFonts w:ascii="PMingLiU" w:eastAsia="PMingLiU" w:hAnsi="PMingLiU" w:cs="PMingLiU"/>
          <w:b w:val="0"/>
          <w:bCs w:val="0"/>
          <w:i w:val="0"/>
          <w:iCs w:val="0"/>
          <w:caps w:val="0"/>
          <w:color w:val="212121"/>
          <w:spacing w:val="0"/>
          <w:sz w:val="21"/>
          <w:szCs w:val="21"/>
          <w:lang w:val="zh-CN" w:eastAsia="zh-CN"/>
        </w:rPr>
        <w:t>细胞系中</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的表达增加，但</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表达与</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活性的关系尚不明确。在此，我们观察到在表达</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的不同</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细胞系中</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表达升高。</w:t>
      </w:r>
      <w:r>
        <w:rPr>
          <w:rStyle w:val="any"/>
          <w:rFonts w:ascii="Segoe UI" w:eastAsia="Segoe UI" w:hAnsi="Segoe UI" w:cs="Segoe UI"/>
          <w:b w:val="0"/>
          <w:bCs w:val="0"/>
          <w:i w:val="0"/>
          <w:iCs w:val="0"/>
          <w:caps w:val="0"/>
          <w:color w:val="212121"/>
          <w:spacing w:val="0"/>
          <w:sz w:val="21"/>
          <w:szCs w:val="21"/>
          <w:lang w:val="zh-CN" w:eastAsia="zh-CN"/>
        </w:rPr>
        <w:t>HBV</w:t>
      </w:r>
      <w:r>
        <w:rPr>
          <w:rStyle w:val="any"/>
          <w:rFonts w:ascii="PMingLiU" w:eastAsia="PMingLiU" w:hAnsi="PMingLiU" w:cs="PMingLiU"/>
          <w:b w:val="0"/>
          <w:bCs w:val="0"/>
          <w:i w:val="0"/>
          <w:iCs w:val="0"/>
          <w:caps w:val="0"/>
          <w:color w:val="212121"/>
          <w:spacing w:val="0"/>
          <w:sz w:val="21"/>
          <w:szCs w:val="21"/>
          <w:lang w:val="zh-CN" w:eastAsia="zh-CN"/>
        </w:rPr>
        <w:t>，尤其是</w:t>
      </w:r>
      <w:r>
        <w:rPr>
          <w:rStyle w:val="any"/>
          <w:rFonts w:ascii="Segoe UI" w:eastAsia="Segoe UI" w:hAnsi="Segoe UI" w:cs="Segoe UI"/>
          <w:b w:val="0"/>
          <w:bCs w:val="0"/>
          <w:i w:val="0"/>
          <w:iCs w:val="0"/>
          <w:caps w:val="0"/>
          <w:color w:val="212121"/>
          <w:spacing w:val="0"/>
          <w:sz w:val="21"/>
          <w:szCs w:val="21"/>
          <w:lang w:val="zh-CN" w:eastAsia="zh-CN"/>
        </w:rPr>
        <w:t xml:space="preserve"> HBx</w:t>
      </w:r>
      <w:r>
        <w:rPr>
          <w:rStyle w:val="any"/>
          <w:rFonts w:ascii="PMingLiU" w:eastAsia="PMingLiU" w:hAnsi="PMingLiU" w:cs="PMingLiU"/>
          <w:b w:val="0"/>
          <w:bCs w:val="0"/>
          <w:i w:val="0"/>
          <w:iCs w:val="0"/>
          <w:caps w:val="0"/>
          <w:color w:val="212121"/>
          <w:spacing w:val="0"/>
          <w:sz w:val="21"/>
          <w:szCs w:val="21"/>
          <w:lang w:val="zh-CN" w:eastAsia="zh-CN"/>
        </w:rPr>
        <w:t>，通过增强其启动子活性来促进</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的表达。利用</w:t>
      </w:r>
      <w:r>
        <w:rPr>
          <w:rStyle w:val="any"/>
          <w:rFonts w:ascii="Segoe UI" w:eastAsia="Segoe UI" w:hAnsi="Segoe UI" w:cs="Segoe UI"/>
          <w:b w:val="0"/>
          <w:bCs w:val="0"/>
          <w:i w:val="0"/>
          <w:iCs w:val="0"/>
          <w:caps w:val="0"/>
          <w:color w:val="212121"/>
          <w:spacing w:val="0"/>
          <w:sz w:val="21"/>
          <w:szCs w:val="21"/>
          <w:lang w:val="zh-CN" w:eastAsia="zh-CN"/>
        </w:rPr>
        <w:t xml:space="preserve"> miRNA </w:t>
      </w:r>
      <w:r>
        <w:rPr>
          <w:rStyle w:val="any"/>
          <w:rFonts w:ascii="PMingLiU" w:eastAsia="PMingLiU" w:hAnsi="PMingLiU" w:cs="PMingLiU"/>
          <w:b w:val="0"/>
          <w:bCs w:val="0"/>
          <w:i w:val="0"/>
          <w:iCs w:val="0"/>
          <w:caps w:val="0"/>
          <w:color w:val="212121"/>
          <w:spacing w:val="0"/>
          <w:sz w:val="21"/>
          <w:szCs w:val="21"/>
          <w:lang w:val="zh-CN" w:eastAsia="zh-CN"/>
        </w:rPr>
        <w:t>靶基因预测数据库</w:t>
      </w:r>
      <w:r>
        <w:rPr>
          <w:rStyle w:val="any"/>
          <w:rFonts w:ascii="Segoe UI" w:eastAsia="Segoe UI" w:hAnsi="Segoe UI" w:cs="Segoe UI"/>
          <w:b w:val="0"/>
          <w:bCs w:val="0"/>
          <w:i w:val="0"/>
          <w:iCs w:val="0"/>
          <w:caps w:val="0"/>
          <w:color w:val="212121"/>
          <w:spacing w:val="0"/>
          <w:sz w:val="21"/>
          <w:szCs w:val="21"/>
          <w:lang w:val="zh-CN" w:eastAsia="zh-CN"/>
        </w:rPr>
        <w:t xml:space="preserve"> miRBase</w:t>
      </w:r>
      <w:r>
        <w:rPr>
          <w:rStyle w:val="any"/>
          <w:rFonts w:ascii="PMingLiU" w:eastAsia="PMingLiU" w:hAnsi="PMingLiU" w:cs="PMingLiU"/>
          <w:b w:val="0"/>
          <w:bCs w:val="0"/>
          <w:i w:val="0"/>
          <w:iCs w:val="0"/>
          <w:caps w:val="0"/>
          <w:color w:val="212121"/>
          <w:spacing w:val="0"/>
          <w:sz w:val="21"/>
          <w:szCs w:val="21"/>
          <w:lang w:val="zh-CN" w:eastAsia="zh-CN"/>
        </w:rPr>
        <w:t>，我们确定了</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是</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的一个新型靶基因。</w:t>
      </w:r>
      <w:r>
        <w:rPr>
          <w:rStyle w:val="any"/>
          <w:rFonts w:ascii="Segoe UI" w:eastAsia="Segoe UI" w:hAnsi="Segoe UI" w:cs="Segoe UI"/>
          <w:b w:val="0"/>
          <w:bCs w:val="0"/>
          <w:i w:val="0"/>
          <w:iCs w:val="0"/>
          <w:caps w:val="0"/>
          <w:color w:val="212121"/>
          <w:spacing w:val="0"/>
          <w:sz w:val="21"/>
          <w:szCs w:val="21"/>
          <w:lang w:val="zh-CN" w:eastAsia="zh-CN"/>
        </w:rPr>
        <w:t xml:space="preserve">miR-331-3p </w:t>
      </w:r>
      <w:r>
        <w:rPr>
          <w:rStyle w:val="any"/>
          <w:rFonts w:ascii="PMingLiU" w:eastAsia="PMingLiU" w:hAnsi="PMingLiU" w:cs="PMingLiU"/>
          <w:b w:val="0"/>
          <w:bCs w:val="0"/>
          <w:i w:val="0"/>
          <w:iCs w:val="0"/>
          <w:caps w:val="0"/>
          <w:color w:val="212121"/>
          <w:spacing w:val="0"/>
          <w:sz w:val="21"/>
          <w:szCs w:val="21"/>
          <w:lang w:val="zh-CN" w:eastAsia="zh-CN"/>
        </w:rPr>
        <w:t>可以通过直接靶向其</w:t>
      </w:r>
      <w:r>
        <w:rPr>
          <w:rStyle w:val="any"/>
          <w:rFonts w:ascii="Segoe UI" w:eastAsia="Segoe UI" w:hAnsi="Segoe UI" w:cs="Segoe UI"/>
          <w:b w:val="0"/>
          <w:bCs w:val="0"/>
          <w:i w:val="0"/>
          <w:iCs w:val="0"/>
          <w:caps w:val="0"/>
          <w:color w:val="212121"/>
          <w:spacing w:val="0"/>
          <w:sz w:val="21"/>
          <w:szCs w:val="21"/>
          <w:lang w:val="zh-CN" w:eastAsia="zh-CN"/>
        </w:rPr>
        <w:t xml:space="preserve"> 3'-</w:t>
      </w:r>
      <w:r>
        <w:rPr>
          <w:rStyle w:val="any"/>
          <w:rFonts w:ascii="PMingLiU" w:eastAsia="PMingLiU" w:hAnsi="PMingLiU" w:cs="PMingLiU"/>
          <w:b w:val="0"/>
          <w:bCs w:val="0"/>
          <w:i w:val="0"/>
          <w:iCs w:val="0"/>
          <w:caps w:val="0"/>
          <w:color w:val="212121"/>
          <w:spacing w:val="0"/>
          <w:sz w:val="21"/>
          <w:szCs w:val="21"/>
          <w:lang w:val="zh-CN" w:eastAsia="zh-CN"/>
        </w:rPr>
        <w:t>非编码区（</w:t>
      </w:r>
      <w:r>
        <w:rPr>
          <w:rStyle w:val="any"/>
          <w:rFonts w:ascii="Segoe UI" w:eastAsia="Segoe UI" w:hAnsi="Segoe UI" w:cs="Segoe UI"/>
          <w:b w:val="0"/>
          <w:bCs w:val="0"/>
          <w:i w:val="0"/>
          <w:iCs w:val="0"/>
          <w:caps w:val="0"/>
          <w:color w:val="212121"/>
          <w:spacing w:val="0"/>
          <w:sz w:val="21"/>
          <w:szCs w:val="21"/>
          <w:lang w:val="zh-CN" w:eastAsia="zh-CN"/>
        </w:rPr>
        <w:t>3'-UTR</w:t>
      </w:r>
      <w:r>
        <w:rPr>
          <w:rStyle w:val="any"/>
          <w:rFonts w:ascii="PMingLiU" w:eastAsia="PMingLiU" w:hAnsi="PMingLiU" w:cs="PMingLiU"/>
          <w:b w:val="0"/>
          <w:bCs w:val="0"/>
          <w:i w:val="0"/>
          <w:iCs w:val="0"/>
          <w:caps w:val="0"/>
          <w:color w:val="212121"/>
          <w:spacing w:val="0"/>
          <w:sz w:val="21"/>
          <w:szCs w:val="21"/>
          <w:lang w:val="zh-CN" w:eastAsia="zh-CN"/>
        </w:rPr>
        <w:t>）来抑制</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的表达。正如预测的那样，</w:t>
      </w:r>
      <w:r>
        <w:rPr>
          <w:rStyle w:val="any"/>
          <w:rFonts w:ascii="Segoe UI" w:eastAsia="Segoe UI" w:hAnsi="Segoe UI" w:cs="Segoe UI"/>
          <w:b w:val="0"/>
          <w:bCs w:val="0"/>
          <w:i w:val="0"/>
          <w:iCs w:val="0"/>
          <w:caps w:val="0"/>
          <w:color w:val="212121"/>
          <w:spacing w:val="0"/>
          <w:sz w:val="21"/>
          <w:szCs w:val="21"/>
          <w:lang w:val="zh-CN" w:eastAsia="zh-CN"/>
        </w:rPr>
        <w:t xml:space="preserve">HBV </w:t>
      </w:r>
      <w:r>
        <w:rPr>
          <w:rStyle w:val="any"/>
          <w:rFonts w:ascii="PMingLiU" w:eastAsia="PMingLiU" w:hAnsi="PMingLiU" w:cs="PMingLiU"/>
          <w:b w:val="0"/>
          <w:bCs w:val="0"/>
          <w:i w:val="0"/>
          <w:iCs w:val="0"/>
          <w:caps w:val="0"/>
          <w:color w:val="212121"/>
          <w:spacing w:val="0"/>
          <w:sz w:val="21"/>
          <w:szCs w:val="21"/>
          <w:lang w:val="zh-CN" w:eastAsia="zh-CN"/>
        </w:rPr>
        <w:t>通过促进</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的表达，在</w:t>
      </w:r>
      <w:r>
        <w:rPr>
          <w:rStyle w:val="any"/>
          <w:rFonts w:ascii="Segoe UI" w:eastAsia="Segoe UI" w:hAnsi="Segoe UI" w:cs="Segoe UI"/>
          <w:b w:val="0"/>
          <w:bCs w:val="0"/>
          <w:i w:val="0"/>
          <w:iCs w:val="0"/>
          <w:caps w:val="0"/>
          <w:color w:val="212121"/>
          <w:spacing w:val="0"/>
          <w:sz w:val="21"/>
          <w:szCs w:val="21"/>
          <w:lang w:val="zh-CN" w:eastAsia="zh-CN"/>
        </w:rPr>
        <w:t xml:space="preserve"> mRNA </w:t>
      </w:r>
      <w:r>
        <w:rPr>
          <w:rStyle w:val="any"/>
          <w:rFonts w:ascii="PMingLiU" w:eastAsia="PMingLiU" w:hAnsi="PMingLiU" w:cs="PMingLiU"/>
          <w:b w:val="0"/>
          <w:bCs w:val="0"/>
          <w:i w:val="0"/>
          <w:iCs w:val="0"/>
          <w:caps w:val="0"/>
          <w:color w:val="212121"/>
          <w:spacing w:val="0"/>
          <w:sz w:val="21"/>
          <w:szCs w:val="21"/>
          <w:lang w:val="zh-CN" w:eastAsia="zh-CN"/>
        </w:rPr>
        <w:t>和蛋白水平上证实了抑制</w:t>
      </w:r>
      <w:r>
        <w:rPr>
          <w:rStyle w:val="any"/>
          <w:rFonts w:ascii="Segoe UI" w:eastAsia="Segoe UI" w:hAnsi="Segoe UI" w:cs="Segoe UI"/>
          <w:b w:val="0"/>
          <w:bCs w:val="0"/>
          <w:i w:val="0"/>
          <w:iCs w:val="0"/>
          <w:caps w:val="0"/>
          <w:color w:val="212121"/>
          <w:spacing w:val="0"/>
          <w:sz w:val="21"/>
          <w:szCs w:val="21"/>
          <w:lang w:val="zh-CN" w:eastAsia="zh-CN"/>
        </w:rPr>
        <w:t xml:space="preserve"> ING5</w:t>
      </w:r>
      <w:r>
        <w:rPr>
          <w:rStyle w:val="any"/>
          <w:rFonts w:ascii="PMingLiU" w:eastAsia="PMingLiU" w:hAnsi="PMingLiU" w:cs="PMingLiU"/>
          <w:b w:val="0"/>
          <w:bCs w:val="0"/>
          <w:i w:val="0"/>
          <w:iCs w:val="0"/>
          <w:caps w:val="0"/>
          <w:color w:val="212121"/>
          <w:spacing w:val="0"/>
          <w:sz w:val="21"/>
          <w:szCs w:val="21"/>
          <w:lang w:val="zh-CN" w:eastAsia="zh-CN"/>
        </w:rPr>
        <w:t>。我们的结果表明，</w:t>
      </w:r>
      <w:r>
        <w:rPr>
          <w:rStyle w:val="any"/>
          <w:rFonts w:ascii="Segoe UI" w:eastAsia="Segoe UI" w:hAnsi="Segoe UI" w:cs="Segoe UI"/>
          <w:b w:val="0"/>
          <w:bCs w:val="0"/>
          <w:i w:val="0"/>
          <w:iCs w:val="0"/>
          <w:caps w:val="0"/>
          <w:color w:val="212121"/>
          <w:spacing w:val="0"/>
          <w:sz w:val="21"/>
          <w:szCs w:val="21"/>
          <w:lang w:val="zh-CN" w:eastAsia="zh-CN"/>
        </w:rPr>
        <w:t xml:space="preserve">miR-331-3p </w:t>
      </w:r>
      <w:r>
        <w:rPr>
          <w:rStyle w:val="any"/>
          <w:rFonts w:ascii="PMingLiU" w:eastAsia="PMingLiU" w:hAnsi="PMingLiU" w:cs="PMingLiU"/>
          <w:b w:val="0"/>
          <w:bCs w:val="0"/>
          <w:i w:val="0"/>
          <w:iCs w:val="0"/>
          <w:caps w:val="0"/>
          <w:color w:val="212121"/>
          <w:spacing w:val="0"/>
          <w:sz w:val="21"/>
          <w:szCs w:val="21"/>
          <w:lang w:val="zh-CN" w:eastAsia="zh-CN"/>
        </w:rPr>
        <w:t>的表达通过抑制</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来促进</w:t>
      </w:r>
      <w:r>
        <w:rPr>
          <w:rStyle w:val="any"/>
          <w:rFonts w:ascii="Segoe UI" w:eastAsia="Segoe UI" w:hAnsi="Segoe UI" w:cs="Segoe UI"/>
          <w:b w:val="0"/>
          <w:bCs w:val="0"/>
          <w:i w:val="0"/>
          <w:iCs w:val="0"/>
          <w:caps w:val="0"/>
          <w:color w:val="212121"/>
          <w:spacing w:val="0"/>
          <w:sz w:val="21"/>
          <w:szCs w:val="21"/>
          <w:lang w:val="zh-CN" w:eastAsia="zh-CN"/>
        </w:rPr>
        <w:t xml:space="preserve"> SMMC7721 </w:t>
      </w:r>
      <w:r>
        <w:rPr>
          <w:rStyle w:val="any"/>
          <w:rFonts w:ascii="PMingLiU" w:eastAsia="PMingLiU" w:hAnsi="PMingLiU" w:cs="PMingLiU"/>
          <w:b w:val="0"/>
          <w:bCs w:val="0"/>
          <w:i w:val="0"/>
          <w:iCs w:val="0"/>
          <w:caps w:val="0"/>
          <w:color w:val="212121"/>
          <w:spacing w:val="0"/>
          <w:sz w:val="21"/>
          <w:szCs w:val="21"/>
          <w:lang w:val="zh-CN" w:eastAsia="zh-CN"/>
        </w:rPr>
        <w:t>细胞的增殖。</w:t>
      </w:r>
      <w:r>
        <w:rPr>
          <w:rStyle w:val="any"/>
          <w:rFonts w:ascii="Segoe UI" w:eastAsia="Segoe UI" w:hAnsi="Segoe UI" w:cs="Segoe UI"/>
          <w:b w:val="0"/>
          <w:bCs w:val="0"/>
          <w:i w:val="0"/>
          <w:iCs w:val="0"/>
          <w:caps w:val="0"/>
          <w:color w:val="212121"/>
          <w:spacing w:val="0"/>
          <w:sz w:val="21"/>
          <w:szCs w:val="21"/>
          <w:lang w:val="zh-CN" w:eastAsia="zh-CN"/>
        </w:rPr>
        <w:t xml:space="preserve">ING5 </w:t>
      </w:r>
      <w:r>
        <w:rPr>
          <w:rStyle w:val="any"/>
          <w:rFonts w:ascii="PMingLiU" w:eastAsia="PMingLiU" w:hAnsi="PMingLiU" w:cs="PMingLiU"/>
          <w:b w:val="0"/>
          <w:bCs w:val="0"/>
          <w:i w:val="0"/>
          <w:iCs w:val="0"/>
          <w:caps w:val="0"/>
          <w:color w:val="212121"/>
          <w:spacing w:val="0"/>
          <w:sz w:val="21"/>
          <w:szCs w:val="21"/>
          <w:lang w:val="zh-CN" w:eastAsia="zh-CN"/>
        </w:rPr>
        <w:t>过表达可促进</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细胞系的细胞凋亡。</w:t>
      </w:r>
      <w:r>
        <w:rPr>
          <w:rStyle w:val="any"/>
          <w:rFonts w:ascii="Segoe UI" w:eastAsia="Segoe UI" w:hAnsi="Segoe UI" w:cs="Segoe UI"/>
          <w:b w:val="0"/>
          <w:bCs w:val="0"/>
          <w:i w:val="0"/>
          <w:iCs w:val="0"/>
          <w:caps w:val="0"/>
          <w:color w:val="212121"/>
          <w:spacing w:val="0"/>
          <w:sz w:val="21"/>
          <w:szCs w:val="21"/>
          <w:lang w:val="zh-CN" w:eastAsia="zh-CN"/>
        </w:rPr>
        <w:t xml:space="preserve"> </w:t>
      </w:r>
      <w:r>
        <w:rPr>
          <w:rStyle w:val="any"/>
          <w:rFonts w:ascii="PMingLiU" w:eastAsia="PMingLiU" w:hAnsi="PMingLiU" w:cs="PMingLiU"/>
          <w:b w:val="0"/>
          <w:bCs w:val="0"/>
          <w:i w:val="0"/>
          <w:iCs w:val="0"/>
          <w:caps w:val="0"/>
          <w:color w:val="212121"/>
          <w:spacing w:val="0"/>
          <w:sz w:val="21"/>
          <w:szCs w:val="21"/>
          <w:lang w:val="zh-CN" w:eastAsia="zh-CN"/>
        </w:rPr>
        <w:t>我们还在</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感染的患者肝细胞癌（</w:t>
      </w:r>
      <w:r>
        <w:rPr>
          <w:rStyle w:val="any"/>
          <w:rFonts w:ascii="Segoe UI" w:eastAsia="Segoe UI" w:hAnsi="Segoe UI" w:cs="Segoe UI"/>
          <w:b w:val="0"/>
          <w:bCs w:val="0"/>
          <w:i w:val="0"/>
          <w:iCs w:val="0"/>
          <w:caps w:val="0"/>
          <w:color w:val="212121"/>
          <w:spacing w:val="0"/>
          <w:sz w:val="21"/>
          <w:szCs w:val="21"/>
          <w:lang w:val="zh-CN" w:eastAsia="zh-CN"/>
        </w:rPr>
        <w:t>HCC</w:t>
      </w:r>
      <w:r>
        <w:rPr>
          <w:rStyle w:val="any"/>
          <w:rFonts w:ascii="PMingLiU" w:eastAsia="PMingLiU" w:hAnsi="PMingLiU" w:cs="PMingLiU"/>
          <w:b w:val="0"/>
          <w:bCs w:val="0"/>
          <w:i w:val="0"/>
          <w:iCs w:val="0"/>
          <w:caps w:val="0"/>
          <w:color w:val="212121"/>
          <w:spacing w:val="0"/>
          <w:sz w:val="21"/>
          <w:szCs w:val="21"/>
          <w:lang w:val="zh-CN" w:eastAsia="zh-CN"/>
        </w:rPr>
        <w:t>）肿瘤组织中发现了</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表达降低，与癌旁组织中的表达相比。</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jc w:val="both"/>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bCs/>
          <w:i w:val="0"/>
          <w:iCs w:val="0"/>
          <w:caps w:val="0"/>
          <w:color w:val="212121"/>
          <w:spacing w:val="0"/>
          <w:sz w:val="21"/>
          <w:szCs w:val="21"/>
        </w:rPr>
        <w:t>Conclusion: </w:t>
      </w:r>
      <w:r>
        <w:rPr>
          <w:rStyle w:val="any"/>
          <w:rFonts w:ascii="Segoe UI" w:eastAsia="Segoe UI" w:hAnsi="Segoe UI" w:cs="Segoe UI"/>
          <w:b w:val="0"/>
          <w:bCs w:val="0"/>
          <w:i w:val="0"/>
          <w:iCs w:val="0"/>
          <w:caps w:val="0"/>
          <w:color w:val="212121"/>
          <w:spacing w:val="0"/>
          <w:sz w:val="21"/>
          <w:szCs w:val="21"/>
        </w:rPr>
        <w:t>These results showed that miR-331-3p is upregulated by HBV and promotes proliferation of HCC cells though repression of ING5 expression. These data provide new insights for understanding the mechanisms of HBV-related HCC pathogenesis.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结论：这些结果表明，</w:t>
      </w:r>
      <w:r>
        <w:rPr>
          <w:rStyle w:val="any"/>
          <w:rFonts w:ascii="Segoe UI" w:eastAsia="Segoe UI" w:hAnsi="Segoe UI" w:cs="Segoe UI"/>
          <w:b w:val="0"/>
          <w:bCs w:val="0"/>
          <w:i w:val="0"/>
          <w:iCs w:val="0"/>
          <w:caps w:val="0"/>
          <w:color w:val="212121"/>
          <w:spacing w:val="0"/>
          <w:sz w:val="21"/>
          <w:szCs w:val="21"/>
          <w:lang w:val="zh-CN" w:eastAsia="zh-CN"/>
        </w:rPr>
        <w:t xml:space="preserve">HBV </w:t>
      </w:r>
      <w:r>
        <w:rPr>
          <w:rStyle w:val="any"/>
          <w:rFonts w:ascii="PMingLiU" w:eastAsia="PMingLiU" w:hAnsi="PMingLiU" w:cs="PMingLiU"/>
          <w:b w:val="0"/>
          <w:bCs w:val="0"/>
          <w:i w:val="0"/>
          <w:iCs w:val="0"/>
          <w:caps w:val="0"/>
          <w:color w:val="212121"/>
          <w:spacing w:val="0"/>
          <w:sz w:val="21"/>
          <w:szCs w:val="21"/>
          <w:lang w:val="zh-CN" w:eastAsia="zh-CN"/>
        </w:rPr>
        <w:t>上调</w:t>
      </w:r>
      <w:r>
        <w:rPr>
          <w:rStyle w:val="any"/>
          <w:rFonts w:ascii="Segoe UI" w:eastAsia="Segoe UI" w:hAnsi="Segoe UI" w:cs="Segoe UI"/>
          <w:b w:val="0"/>
          <w:bCs w:val="0"/>
          <w:i w:val="0"/>
          <w:iCs w:val="0"/>
          <w:caps w:val="0"/>
          <w:color w:val="212121"/>
          <w:spacing w:val="0"/>
          <w:sz w:val="21"/>
          <w:szCs w:val="21"/>
          <w:lang w:val="zh-CN" w:eastAsia="zh-CN"/>
        </w:rPr>
        <w:t xml:space="preserve"> miR-331-3p</w:t>
      </w:r>
      <w:r>
        <w:rPr>
          <w:rStyle w:val="any"/>
          <w:rFonts w:ascii="PMingLiU" w:eastAsia="PMingLiU" w:hAnsi="PMingLiU" w:cs="PMingLiU"/>
          <w:b w:val="0"/>
          <w:bCs w:val="0"/>
          <w:i w:val="0"/>
          <w:iCs w:val="0"/>
          <w:caps w:val="0"/>
          <w:color w:val="212121"/>
          <w:spacing w:val="0"/>
          <w:sz w:val="21"/>
          <w:szCs w:val="21"/>
          <w:lang w:val="zh-CN" w:eastAsia="zh-CN"/>
        </w:rPr>
        <w:t>，通过抑制</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表达促进</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细胞的增殖。这些数据为理解</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相关</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发病机制提供了新的见解。</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9"/>
          <w:sz w:val="36"/>
          <w:szCs w:val="36"/>
          <w:lang w:val="zh-CN" w:eastAsia="zh-CN"/>
        </w:rPr>
        <w:t>02</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0"/>
          <w:sz w:val="30"/>
          <w:szCs w:val="30"/>
          <w:lang w:val="zh-CN" w:eastAsia="zh-CN"/>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Microsoft YaHei" w:eastAsia="Microsoft YaHei" w:hAnsi="Microsoft YaHei" w:cs="Microsoft YaHei"/>
          <w:b/>
          <w:bCs/>
          <w:color w:val="9A3030"/>
          <w:spacing w:val="22"/>
          <w:sz w:val="27"/>
          <w:szCs w:val="27"/>
          <w:lang w:val="zh-CN" w:eastAsia="zh-CN"/>
        </w:rPr>
        <w:t>具体说明</w:t>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312558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16089" name=""/>
                    <pic:cNvPicPr>
                      <a:picLocks noChangeAspect="1"/>
                    </pic:cNvPicPr>
                  </pic:nvPicPr>
                  <pic:blipFill>
                    <a:blip xmlns:r="http://schemas.openxmlformats.org/officeDocument/2006/relationships" r:embed="rId7"/>
                    <a:stretch>
                      <a:fillRect/>
                    </a:stretch>
                  </pic:blipFill>
                  <pic:spPr>
                    <a:xfrm>
                      <a:off x="0" y="0"/>
                      <a:ext cx="5486400" cy="3125585"/>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741515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71333" name=""/>
                    <pic:cNvPicPr>
                      <a:picLocks noChangeAspect="1"/>
                    </pic:cNvPicPr>
                  </pic:nvPicPr>
                  <pic:blipFill>
                    <a:blip xmlns:r="http://schemas.openxmlformats.org/officeDocument/2006/relationships" r:embed="rId8"/>
                    <a:stretch>
                      <a:fillRect/>
                    </a:stretch>
                  </pic:blipFill>
                  <pic:spPr>
                    <a:xfrm>
                      <a:off x="0" y="0"/>
                      <a:ext cx="5486400" cy="7415159"/>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755978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98292" name=""/>
                    <pic:cNvPicPr>
                      <a:picLocks noChangeAspect="1"/>
                    </pic:cNvPicPr>
                  </pic:nvPicPr>
                  <pic:blipFill>
                    <a:blip xmlns:r="http://schemas.openxmlformats.org/officeDocument/2006/relationships" r:embed="rId9"/>
                    <a:stretch>
                      <a:fillRect/>
                    </a:stretch>
                  </pic:blipFill>
                  <pic:spPr>
                    <a:xfrm>
                      <a:off x="0" y="0"/>
                      <a:ext cx="5486400" cy="7559788"/>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49687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65733" name=""/>
                    <pic:cNvPicPr>
                      <a:picLocks noChangeAspect="1"/>
                    </pic:cNvPicPr>
                  </pic:nvPicPr>
                  <pic:blipFill>
                    <a:blip xmlns:r="http://schemas.openxmlformats.org/officeDocument/2006/relationships" r:embed="rId10"/>
                    <a:stretch>
                      <a:fillRect/>
                    </a:stretch>
                  </pic:blipFill>
                  <pic:spPr>
                    <a:xfrm>
                      <a:off x="0" y="0"/>
                      <a:ext cx="5486400" cy="6496874"/>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408633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74309" name=""/>
                    <pic:cNvPicPr>
                      <a:picLocks noChangeAspect="1"/>
                    </pic:cNvPicPr>
                  </pic:nvPicPr>
                  <pic:blipFill>
                    <a:blip xmlns:r="http://schemas.openxmlformats.org/officeDocument/2006/relationships" r:embed="rId11"/>
                    <a:stretch>
                      <a:fillRect/>
                    </a:stretch>
                  </pic:blipFill>
                  <pic:spPr>
                    <a:xfrm>
                      <a:off x="0" y="0"/>
                      <a:ext cx="5486400" cy="4086330"/>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24522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83212" name=""/>
                    <pic:cNvPicPr>
                      <a:picLocks noChangeAspect="1"/>
                    </pic:cNvPicPr>
                  </pic:nvPicPr>
                  <pic:blipFill>
                    <a:blip xmlns:r="http://schemas.openxmlformats.org/officeDocument/2006/relationships" r:embed="rId12"/>
                    <a:stretch>
                      <a:fillRect/>
                    </a:stretch>
                  </pic:blipFill>
                  <pic:spPr>
                    <a:xfrm>
                      <a:off x="0" y="0"/>
                      <a:ext cx="5486400" cy="6245229"/>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23546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14810" name=""/>
                    <pic:cNvPicPr>
                      <a:picLocks noChangeAspect="1"/>
                    </pic:cNvPicPr>
                  </pic:nvPicPr>
                  <pic:blipFill>
                    <a:blip xmlns:r="http://schemas.openxmlformats.org/officeDocument/2006/relationships" r:embed="rId13"/>
                    <a:stretch>
                      <a:fillRect/>
                    </a:stretch>
                  </pic:blipFill>
                  <pic:spPr>
                    <a:xfrm>
                      <a:off x="0" y="0"/>
                      <a:ext cx="5486400" cy="62354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PMingLiU" w:eastAsia="PMingLiU" w:hAnsi="PMingLiU" w:cs="PMingLiU"/>
          <w:b/>
          <w:bCs/>
          <w:color w:val="3E3E3E"/>
          <w:spacing w:val="9"/>
          <w:sz w:val="21"/>
          <w:szCs w:val="21"/>
          <w:lang w:val="zh-CN" w:eastAsia="zh-CN"/>
        </w:rPr>
        <w:t>参考信息</w:t>
      </w:r>
      <w:r>
        <w:rPr>
          <w:rStyle w:val="any"/>
          <w:rFonts w:ascii="Times New Roman" w:eastAsia="Times New Roman" w:hAnsi="Times New Roman" w:cs="Times New Roman"/>
          <w:b/>
          <w:bCs/>
          <w:color w:val="3E3E3E"/>
          <w:spacing w:val="9"/>
          <w:sz w:val="21"/>
          <w:szCs w:val="21"/>
          <w:lang w:val="zh-CN" w:eastAsia="zh-CN"/>
        </w:rPr>
        <w:br/>
      </w:r>
      <w:r>
        <w:rPr>
          <w:rStyle w:val="any"/>
          <w:rFonts w:ascii="Times New Roman" w:eastAsia="Times New Roman" w:hAnsi="Times New Roman" w:cs="Times New Roman"/>
          <w:b/>
          <w:bCs/>
          <w:color w:val="3E3E3E"/>
          <w:spacing w:val="9"/>
          <w:sz w:val="18"/>
          <w:szCs w:val="18"/>
          <w:lang w:val="zh-CN" w:eastAsia="zh-CN"/>
        </w:rPr>
        <w:t>https://pubmed.ncbi.nlm.nih.gov/26497554/</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b/>
          <w:bCs/>
          <w:color w:val="3E3E3E"/>
          <w:spacing w:val="9"/>
          <w:sz w:val="18"/>
          <w:szCs w:val="18"/>
          <w:lang w:val="zh-CN" w:eastAsia="zh-CN"/>
        </w:rPr>
        <w:t>https://pubpeer.com/publications/20CCDA70878ED0068EADBD3AE80AB4#0</w:t>
      </w:r>
    </w:p>
    <w:p>
      <w:pPr>
        <w:pStyle w:val="anyParagraph"/>
        <w:numPr>
          <w:ilvl w:val="0"/>
          <w:numId w:val="1"/>
        </w:numPr>
        <w:shd w:val="clear" w:color="auto" w:fill="FFFFFF"/>
        <w:spacing w:before="150" w:after="0" w:line="390" w:lineRule="atLeast"/>
        <w:ind w:left="690" w:right="315" w:hanging="197"/>
        <w:jc w:val="left"/>
        <w:rPr>
          <w:rStyle w:val="any"/>
          <w:rFonts w:ascii="Times New Roman" w:eastAsia="Times New Roman" w:hAnsi="Times New Roman" w:cs="Times New Roman"/>
          <w:color w:val="333333"/>
          <w:spacing w:val="9"/>
          <w:sz w:val="21"/>
          <w:szCs w:val="21"/>
        </w:rPr>
      </w:pPr>
    </w:p>
    <w:p>
      <w:pPr>
        <w:shd w:val="clear" w:color="auto" w:fill="FFFFFF"/>
        <w:spacing w:before="0" w:after="150" w:line="390" w:lineRule="atLeast"/>
        <w:ind w:left="690" w:right="315"/>
        <w:jc w:val="left"/>
        <w:rPr>
          <w:rStyle w:val="any"/>
          <w:rFonts w:ascii="Consolas" w:eastAsia="Consolas" w:hAnsi="Consolas" w:cs="Consolas"/>
          <w:color w:val="333333"/>
          <w:spacing w:val="9"/>
          <w:sz w:val="21"/>
          <w:szCs w:val="21"/>
        </w:rPr>
      </w:pPr>
      <w:r>
        <w:rPr>
          <w:rStyle w:val="any"/>
          <w:rFonts w:ascii="PMingLiU" w:eastAsia="PMingLiU" w:hAnsi="PMingLiU" w:cs="PMingLiU"/>
          <w:color w:val="333333"/>
          <w:spacing w:val="9"/>
          <w:sz w:val="21"/>
          <w:szCs w:val="21"/>
        </w:rPr>
        <w:t>本平台对于科研问题的探讨，始终保持严谨、深入、持续、开放和创新的态度。所有推文信源，均来源于</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w:t>
      </w:r>
      <w:r>
        <w:rPr>
          <w:rStyle w:val="any"/>
          <w:rFonts w:ascii="Consolas" w:eastAsia="Consolas" w:hAnsi="Consolas" w:cs="Consolas"/>
          <w:color w:val="333333"/>
          <w:spacing w:val="9"/>
          <w:sz w:val="21"/>
          <w:szCs w:val="21"/>
        </w:rPr>
        <w:t>For Better Science</w:t>
      </w:r>
      <w:r>
        <w:rPr>
          <w:rStyle w:val="any"/>
          <w:rFonts w:ascii="PMingLiU" w:eastAsia="PMingLiU" w:hAnsi="PMingLiU" w:cs="PMingLiU"/>
          <w:color w:val="333333"/>
          <w:spacing w:val="9"/>
          <w:sz w:val="21"/>
          <w:szCs w:val="21"/>
        </w:rPr>
        <w:t>等网站公开质疑。我们从来没有、也永远不会主动查重论文并去</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上质疑。我们尊重他人的研究成果和贡献，通过交流和合作，共同推动科研领域的进步和发展。</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47&amp;idx=1&amp;sn=7c81a3831693cfed761b4fba0b9605e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