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中国医学科学院胡卓伟团队发表的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Immunity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16:53:32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29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84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2019年8月27日，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中国医学科学院北京协和医学院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胡卓伟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Immunity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 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Targeting Degradation of the Transcription Factor C/EBPβ Reduces Lung Fibrosis by Restoring Activity of the Ubiquitin-Editing Enzyme A20 in Macrophages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8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61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47925" cy="1323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1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对所有图片（非蛋白印迹）进行检测，iFigures发现文章内1对图片重复：图S7J-1及S7J-2出现重叠，但是代表明显不一样的实验结果。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146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7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38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69&amp;idx=1&amp;sn=d1fdf55159c22531b8392b5f887674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