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蛋白质印迹与另两篇论文数据重复，中国医科大学附属盛京医院贾慧敏的论文被撤稿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14:54:25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335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78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中国医科大学附属盛京医院小儿外科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Weilin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Huimin Jia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贾慧敏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Neuroscience Letters(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Abnormal innervation patterns in the anorectum of ETU-induced fetal rats with anorectal malformations"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ETU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诱导的肛门直肠畸形胎鼠肛门直肠的异常神经支配模式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30801199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30872704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）、辽宁省科学技术厅攻关计划项目（项目编号：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2007225005-3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）、辽宁省教育厅重点实验室项目（项目编号：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LS2010171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）以及中国医科大学附属盛京医院优秀科研项目（项目编号：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200811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01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29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64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图6的蛋白印迹与其他无关论文重复。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 paper [1] Figure 6 (western blot SYP), paper [2] Figure 4 (western blot Wnt5a) and paper [3] Figure 4 (western blot Notch-1) have been identified, where it represents a very different set of experiments.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（本文）[1]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849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43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05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该期刊收到了一则投诉，投诉内容关于上述论文图6中的PGP9.5 25KD、SYP 38KD和b-actin蛋白质印迹在另外两本期刊中存在明显重复。其中，PGP9.5 25KD的印迹在一篇论文中被识别为Jagged-2 150KD（论文链接：https://doi.org/10.1016/j.jss.2010.08.011），而SYP 38KD的印迹在另一篇论文中被识别为wnt5a 40KD或Notch-1 120KD（论文链接：https://doi.org/10.1007/s00384-010-1125-0）。在这三篇论文中，b-actin的印迹均被识别为b-actin。这些论文中有许多作者是相同的。这些疑虑最初在https://pubpeer.com/publications/8944775D009C1B119117B58D2E35DF上被提出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期刊要求作者在两周内对这些投诉作出回应。在1.5个月的时间内，通过两封不同的电子邮件发送了这一要求。请求发送给了第一作者、通讯作者以及三位合著者。所有电子邮件均未被退回，显示无法送达。迄今为止，作者们均未作出回应。鉴于这些图像重复以及作者未予回应的情况，主编决定撤回该论文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对于在投稿和评审过程中未能发现这些错误，我们向《神经科学通讯》的读者致以诚挚的歉意。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19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https://pubmed.ncbi.nlm.nih.gov/21440597/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62&amp;idx=1&amp;sn=899a467a2d11fddfc40abf642ee2de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