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32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871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60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1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50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60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015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576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