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学术圈大地震：小型公司收购期刊，合法变低质，究竟为何？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03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月，西班牙格拉纳达大学的信息科学家阿尔韦托?马丁 - 马丁及其合作者埃米利奥?德尔加多?洛佩斯 - 科萨尔在预印本库 Zenodo 上发表了一项分析研究。研究发现，存在 “期刊抢夺者” 现象，即一些小型新成立公司从知名出版商手中收购学术期刊，将合法期刊转变为掠夺性、低质量出版物。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787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74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这些被收购期刊此前被 Scopus 和 Web of Science 等数据库收录，原属于包括荷兰出版巨头爱思唯尔、伦敦的学术出版商帕尔格雷夫?麦克米伦、美国印第安纳大学西北分校、巴西圣保罗大学等各类机构，学科范围涵盖语言学、心理学、犯罪学、生物学和医学等。过去几年间，它们被如 2022 年 9 月在英国注册的牛津剑桥出版社、另一家英国公司 Open Access Text、新加坡的 JCF Corp 以及马来西亚的 Intellectual Edge Consultancy 等公司收购。据马丁 - 马丁团队评估的邮件显示，收购方会为每本期刊向出版商提供数十万欧元。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收购后，这些期刊呈现出共同趋势：引入或提高文章处理费，大量产出研究论文，且许多论文超出收购前期刊的主题范围，这些做法与掠夺性出版相关，即通过不正当手段产出低质量或欺诈性研究论文以获取高额出版费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67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40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科研诚信分析人士警告称，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期刊掠夺者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”——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即从知名出版商手中收购学术期刊的公司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——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正通过一些可疑手段，将原本正规的期刊转变为具有掠夺性的低质量出版物。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多数被提及的收购公司未回应《自然》杂志的置评请求。牛津剑桥出版社关系经理大卫?拉德霍尔称公司 “不是出版商”，对部分期刊无直接所有权，且未参与所拥有期刊的编辑决策。美国《健康行为杂志》主编表示因通胀和供应商提价而提高出版费，且编辑决策由编辑委员会独立做出，否认与牛津剑桥出版社有关系。另有部分期刊代表拒绝回答关于所有权和编辑监督的问题，还有研究人员称被虚假列为期刊网站编辑。马丁 - 马丁指出，这些公司收购期刊时不够公开透明，很多情况下期刊网站不显示新所有者信息。该研究成果警示了学术出版领域存在的不良现象，对维护学术出版的规范性和科学性有重要意义。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https://www.nature.com/articles/d41586-025-01198-6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74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1&amp;sn=cdde8416bc85e8c567b47ce55c496c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