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守门人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变剽窃者，审稿人乱象该如何整治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34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7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日，国家自然科学基金委员会公布了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年查处的不端行为案件处理决定（第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批），其中廖某的行为引发广泛关注。廖某某大量使用自己往年评审的某省自然科学基金项目申请书内容，撰写形成国家自然科学基金项目申请书，并安排他人用此申请书申请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年科学基金项目（未获资助），存在抄袭、剽窃他人基金项目申请书问题。经相关会议审议审定，决定取消廖某某国家自然科学基金项目评审资格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2031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日），取消其项目申请和参与申请资格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日），并给予通报批评。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5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32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事实上，审稿人剽窃事件并非首次发生。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年，国自然通报深圳大学李某在他人不知情的情况下，大量使用他人基金项目申请书内容撰写本人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年基金项目申请书，最终被撤销申请，取消相关资格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年并通报批评。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985 </w:t>
      </w:r>
      <w:r>
        <w:rPr>
          <w:rStyle w:val="any"/>
          <w:rFonts w:ascii="PMingLiU" w:eastAsia="PMingLiU" w:hAnsi="PMingLiU" w:cs="PMingLiU"/>
          <w:spacing w:val="8"/>
        </w:rPr>
        <w:t>高校博导钟某某将评审拒稿的论文稍加修改投稿发表，未经同意使用他人署名，还将该论文列入国家自然科学基金项目结题报告中，同样受到严肃处理。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7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59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9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在国际上，类似事件也屡见不鲜。巴基斯坦化学家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Muhammad Kashif </w:t>
      </w:r>
      <w:r>
        <w:rPr>
          <w:rStyle w:val="any"/>
          <w:rFonts w:ascii="PMingLiU" w:eastAsia="PMingLiU" w:hAnsi="PMingLiU" w:cs="PMingLiU"/>
          <w:spacing w:val="8"/>
        </w:rPr>
        <w:t>的论文被拒后，审稿人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Sujit Kumar </w:t>
      </w:r>
      <w:r>
        <w:rPr>
          <w:rStyle w:val="any"/>
          <w:rFonts w:ascii="PMingLiU" w:eastAsia="PMingLiU" w:hAnsi="PMingLiU" w:cs="PMingLiU"/>
          <w:spacing w:val="8"/>
        </w:rPr>
        <w:t>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文件名混淆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为由将其改头换面发表。伊朗学者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Mina Mehregan </w:t>
      </w:r>
      <w:r>
        <w:rPr>
          <w:rStyle w:val="any"/>
          <w:rFonts w:ascii="PMingLiU" w:eastAsia="PMingLiU" w:hAnsi="PMingLiU" w:cs="PMingLiU"/>
          <w:spacing w:val="8"/>
        </w:rPr>
        <w:t>的论文遭印度审稿人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Devarajan </w:t>
      </w:r>
      <w:r>
        <w:rPr>
          <w:rStyle w:val="any"/>
          <w:rFonts w:ascii="PMingLiU" w:eastAsia="PMingLiU" w:hAnsi="PMingLiU" w:cs="PMingLiU"/>
          <w:spacing w:val="8"/>
        </w:rPr>
        <w:t>剽窃，维权耗时五个月才撤稿。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在学术评审体系中，审稿人本应是学术质量的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守门人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如今这类行为频发，暴露了信任危机。对于被剽窃的学者而言，往往苦不堪言，很多因缺乏证据只能无奈忍受。而且，审稿人利用匿名评审特权，剽窃成本极低，申请人或投稿人的权益保护和申诉机制尚不完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49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03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对此，学者们需要构建系统性保护策略来防范基金本子或稿件被剽窃。比如分阶段管理关键节点，通过区块链存证平台生成不可篡改的时间戳或用带数字水印的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版本存档；将创新点拆解申请相关知识产权；发布论文预印本等。最后呼吁大家珍惜学术羽毛，远离学术不端行为。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67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25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1&amp;sn=4462f0f3590f01ca37cd936f08c6c0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