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部分图表在其他文章中代表不同科学背景被重复使用，齐齐哈尔医学院附属第三医院的论文被撤稿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37249278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33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523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18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2023年5月16日，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齐齐哈尔医学院附属第三医院在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Immunity Inflammation and Disease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Expression and significant roles of the lncRNA NEAT1/miR-493-5p/Rab27A axis in ulcerative colitis"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长链非编码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RNA NEAT1/miR-493-5p/Rab27A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轴在溃疡性结肠炎中的表达及重要作用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齐齐哈尔医学院附属第三医院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Hecheng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齐齐哈尔医学院附属第三医院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Jiadan Teng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年齐齐哈尔市科技计划联合引导项目（项目编号：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LSFGG‐2022017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5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808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38500"/>
            <wp:docPr id="100005" name="" descr="齐齐哈尔医学院附属第三医院神经内科_齐齐哈尔医学院附属第三医院神经内科出诊专家_有来医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910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947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Some might be curious about the stylistic similarities between these two unrelated papers.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（本文）Immunity, Inflammation and Disease (2023), 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Orthopaedic Surgery and Research (2023), doi: 10.1186/s13018-023-03661-4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048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01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A plot in this paper seems to also appear in a different paper in the same journal, with no common authors.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（本文）Immunity, Inflammation and Disease (2023), 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Immunity, Inflammation and Disease (2023), doi: 10.1002/iid3.811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475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83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A plot in this paper is unexpectedly similar to a plot in an unrelated paper. There are common clusters or constellations of data points that is very unlikely to occur by chance. To be clear, the plots are not identical.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Bioengineered (2022), doi: 10.1080/21655979.2022.2073319</w:t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（本文）I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mmunity, Inflammation and Disease (2023), doi: 10.1002/iid3.814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343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58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本文已于2025年4月11日被撤回：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上述文章于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2023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16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日在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Wiley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在线图书馆（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wileyonlinelibrary.com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）在线发表，现已由作者、期刊主编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Marc Veldhoen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以及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John Wiley &amp; Sons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有限公司协商一致后撤回。此次撤回是在对第三方提出的质疑进行调查后达成的。调查发现，图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5E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中展示的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LPS+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长链非编码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RNA NEAT1-sRNA+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抑制剂对照流式细胞术图以及部分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LPS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图已在其他文章中发表，且代表不同的科学背景。作者提供了相关解释和部分数据，但被认为不足以说明问题。编辑团队对所呈现的数据已失去信心，并认为相关结论已受到损害。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https://pubpeer.com/publications/6C3E4831A9B9CAC4C34B0256801AAE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https://pubmed.ncbi.nlm.nih.gov/37249278/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https://onlinelibrary.wiley.com/doi/10.1002/iid3.70192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47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5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953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86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0.emf" /><Relationship Id="rId31" Type="http://schemas.openxmlformats.org/officeDocument/2006/relationships/image" Target="media/image11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1&amp;sn=961c5242aa1e56deb1b701b9c6291a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