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已被撤稿！山东省肿瘤医院一研究被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19:36:58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87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ABCG1 as a potential oncogene in lung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ABCG1</w:t>
      </w:r>
      <w:r>
        <w:rPr>
          <w:rStyle w:val="any"/>
          <w:rFonts w:ascii="PMingLiU" w:eastAsia="PMingLiU" w:hAnsi="PMingLiU" w:cs="PMingLiU"/>
          <w:spacing w:val="8"/>
        </w:rPr>
        <w:t>是肺癌的潜在致癌基因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潍坊医学院附属益都中心医院保健老年病科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Chao Xie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山东省肿瘤医院内三科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48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79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67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61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9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3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48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72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78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山东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43287845279678466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56&amp;idx=1&amp;sn=f53fef5035c5786a0fc9a482e7f94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