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0451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1363"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2637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0521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1837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1680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68198"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5179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3314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6921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9679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41387"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52484"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08373"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79824"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15245"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33100"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