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数据图像眼花缭乱！扬州市名中医、扬州大学医学院二级教授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Yanqing Liu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（刘严庆）团队论文被撤稿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22:57:09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222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8240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Celastrol inhibits lipopolysaccharide-stimulated rheumatoid fibroblast-like synoviocyte invasion through suppression of TLR4/NF-κB-mediated matrix metalloproteinase-9 expression</w:t>
      </w:r>
      <w:r>
        <w:rPr>
          <w:rStyle w:val="any"/>
          <w:rFonts w:ascii="PMingLiU" w:eastAsia="PMingLiU" w:hAnsi="PMingLiU" w:cs="PMingLiU"/>
          <w:spacing w:val="8"/>
        </w:rPr>
        <w:t>（雷公藤红素通过抑制</w:t>
      </w:r>
      <w:r>
        <w:rPr>
          <w:rStyle w:val="any"/>
          <w:rFonts w:ascii="Times New Roman" w:eastAsia="Times New Roman" w:hAnsi="Times New Roman" w:cs="Times New Roman"/>
          <w:spacing w:val="8"/>
        </w:rPr>
        <w:t>TLR4 / NF-κB</w:t>
      </w:r>
      <w:r>
        <w:rPr>
          <w:rStyle w:val="any"/>
          <w:rFonts w:ascii="PMingLiU" w:eastAsia="PMingLiU" w:hAnsi="PMingLiU" w:cs="PMingLiU"/>
          <w:spacing w:val="8"/>
        </w:rPr>
        <w:t>介导的基质金属蛋白酶</w:t>
      </w:r>
      <w:r>
        <w:rPr>
          <w:rStyle w:val="any"/>
          <w:rFonts w:ascii="Times New Roman" w:eastAsia="Times New Roman" w:hAnsi="Times New Roman" w:cs="Times New Roman"/>
          <w:spacing w:val="8"/>
        </w:rPr>
        <w:t>-9</w:t>
      </w:r>
      <w:r>
        <w:rPr>
          <w:rStyle w:val="any"/>
          <w:rFonts w:ascii="PMingLiU" w:eastAsia="PMingLiU" w:hAnsi="PMingLiU" w:cs="PMingLiU"/>
          <w:spacing w:val="8"/>
        </w:rPr>
        <w:t>的表达</w:t>
      </w:r>
      <w:r>
        <w:rPr>
          <w:rStyle w:val="any"/>
          <w:rFonts w:ascii="Times New Roman" w:eastAsia="Times New Roman" w:hAnsi="Times New Roman" w:cs="Times New Roman"/>
          <w:spacing w:val="8"/>
        </w:rPr>
        <w:t>,</w:t>
      </w:r>
      <w:r>
        <w:rPr>
          <w:rStyle w:val="any"/>
          <w:rFonts w:ascii="PMingLiU" w:eastAsia="PMingLiU" w:hAnsi="PMingLiU" w:cs="PMingLiU"/>
          <w:spacing w:val="8"/>
        </w:rPr>
        <w:t>抑制脂多糖刺激的类风湿成纤维细胞样滑膜细胞侵袭）的论文在《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PLoS ONE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10.1371/journal.pone.0068905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XXX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XX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2023</w:t>
      </w:r>
      <w:r>
        <w:rPr>
          <w:rStyle w:val="any"/>
          <w:rFonts w:ascii="PMingLiU" w:eastAsia="PMingLiU" w:hAnsi="PMingLiU" w:cs="PMingLiU"/>
          <w:spacing w:val="8"/>
        </w:rPr>
        <w:t>年就对该论文提出多处质疑，认为图像有重复。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487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3021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57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9809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31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7135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9535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8687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063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5818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571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0975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598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143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70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30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063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9401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4132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3661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2476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4453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2608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6069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989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2287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日该论文终被撤回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11834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7420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1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本论文研究内容为：</w:t>
      </w:r>
      <w:r>
        <w:rPr>
          <w:rStyle w:val="any"/>
          <w:rFonts w:ascii="PMingLiU" w:eastAsia="PMingLiU" w:hAnsi="PMingLiU" w:cs="PMingLiU"/>
          <w:spacing w:val="8"/>
        </w:rPr>
        <w:t>成纤维细胞样的滑膜细胞（</w:t>
      </w:r>
      <w:r>
        <w:rPr>
          <w:rStyle w:val="any"/>
          <w:rFonts w:ascii="Times New Roman" w:eastAsia="Times New Roman" w:hAnsi="Times New Roman" w:cs="Times New Roman"/>
          <w:spacing w:val="8"/>
        </w:rPr>
        <w:t>FLS</w:t>
      </w:r>
      <w:r>
        <w:rPr>
          <w:rStyle w:val="any"/>
          <w:rFonts w:ascii="PMingLiU" w:eastAsia="PMingLiU" w:hAnsi="PMingLiU" w:cs="PMingLiU"/>
          <w:spacing w:val="8"/>
        </w:rPr>
        <w:t>）的侵袭对于类风湿关节炎（</w:t>
      </w:r>
      <w:r>
        <w:rPr>
          <w:rStyle w:val="any"/>
          <w:rFonts w:ascii="Times New Roman" w:eastAsia="Times New Roman" w:hAnsi="Times New Roman" w:cs="Times New Roman"/>
          <w:spacing w:val="8"/>
        </w:rPr>
        <w:t>RA</w:t>
      </w:r>
      <w:r>
        <w:rPr>
          <w:rStyle w:val="any"/>
          <w:rFonts w:ascii="PMingLiU" w:eastAsia="PMingLiU" w:hAnsi="PMingLiU" w:cs="PMingLiU"/>
          <w:spacing w:val="8"/>
        </w:rPr>
        <w:t>）的发病机理至关重要。金属蛋白酶（</w:t>
      </w:r>
      <w:r>
        <w:rPr>
          <w:rStyle w:val="any"/>
          <w:rFonts w:ascii="Times New Roman" w:eastAsia="Times New Roman" w:hAnsi="Times New Roman" w:cs="Times New Roman"/>
          <w:spacing w:val="8"/>
        </w:rPr>
        <w:t>MMP</w:t>
      </w:r>
      <w:r>
        <w:rPr>
          <w:rStyle w:val="any"/>
          <w:rFonts w:ascii="PMingLiU" w:eastAsia="PMingLiU" w:hAnsi="PMingLiU" w:cs="PMingLiU"/>
          <w:spacing w:val="8"/>
        </w:rPr>
        <w:t>）和类似受体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TLR4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核因子</w:t>
      </w:r>
      <w:r>
        <w:rPr>
          <w:rStyle w:val="any"/>
          <w:rFonts w:ascii="Times New Roman" w:eastAsia="Times New Roman" w:hAnsi="Times New Roman" w:cs="Times New Roman"/>
          <w:spacing w:val="8"/>
        </w:rPr>
        <w:t>-KB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NF-KB</w:t>
      </w:r>
      <w:r>
        <w:rPr>
          <w:rStyle w:val="any"/>
          <w:rFonts w:ascii="PMingLiU" w:eastAsia="PMingLiU" w:hAnsi="PMingLiU" w:cs="PMingLiU"/>
          <w:spacing w:val="8"/>
        </w:rPr>
        <w:t>）途径的活化剂在由脂多糖（</w:t>
      </w:r>
      <w:r>
        <w:rPr>
          <w:rStyle w:val="any"/>
          <w:rFonts w:ascii="Times New Roman" w:eastAsia="Times New Roman" w:hAnsi="Times New Roman" w:cs="Times New Roman"/>
          <w:spacing w:val="8"/>
        </w:rPr>
        <w:t>LPS</w:t>
      </w:r>
      <w:r>
        <w:rPr>
          <w:rStyle w:val="any"/>
          <w:rFonts w:ascii="PMingLiU" w:eastAsia="PMingLiU" w:hAnsi="PMingLiU" w:cs="PMingLiU"/>
          <w:spacing w:val="8"/>
        </w:rPr>
        <w:t>）引起的</w:t>
      </w:r>
      <w:r>
        <w:rPr>
          <w:rStyle w:val="any"/>
          <w:rFonts w:ascii="Times New Roman" w:eastAsia="Times New Roman" w:hAnsi="Times New Roman" w:cs="Times New Roman"/>
          <w:spacing w:val="8"/>
        </w:rPr>
        <w:t>RA-FLS</w:t>
      </w:r>
      <w:r>
        <w:rPr>
          <w:rStyle w:val="any"/>
          <w:rFonts w:ascii="PMingLiU" w:eastAsia="PMingLiU" w:hAnsi="PMingLiU" w:cs="PMingLiU"/>
          <w:spacing w:val="8"/>
        </w:rPr>
        <w:t>侵袭中起关键作用。本研究旨在探索</w:t>
      </w:r>
      <w:r>
        <w:rPr>
          <w:rStyle w:val="any"/>
          <w:rFonts w:ascii="Times New Roman" w:eastAsia="Times New Roman" w:hAnsi="Times New Roman" w:cs="Times New Roman"/>
          <w:spacing w:val="8"/>
        </w:rPr>
        <w:t>Celastrol</w:t>
      </w:r>
      <w:r>
        <w:rPr>
          <w:rStyle w:val="any"/>
          <w:rFonts w:ascii="PMingLiU" w:eastAsia="PMingLiU" w:hAnsi="PMingLiU" w:cs="PMingLiU"/>
          <w:spacing w:val="8"/>
        </w:rPr>
        <w:t>对</w:t>
      </w:r>
      <w:r>
        <w:rPr>
          <w:rStyle w:val="any"/>
          <w:rFonts w:ascii="Times New Roman" w:eastAsia="Times New Roman" w:hAnsi="Times New Roman" w:cs="Times New Roman"/>
          <w:spacing w:val="8"/>
        </w:rPr>
        <w:t>LPS</w:t>
      </w:r>
      <w:r>
        <w:rPr>
          <w:rStyle w:val="any"/>
          <w:rFonts w:ascii="PMingLiU" w:eastAsia="PMingLiU" w:hAnsi="PMingLiU" w:cs="PMingLiU"/>
          <w:spacing w:val="8"/>
        </w:rPr>
        <w:t>刺激的人</w:t>
      </w:r>
      <w:r>
        <w:rPr>
          <w:rStyle w:val="any"/>
          <w:rFonts w:ascii="Times New Roman" w:eastAsia="Times New Roman" w:hAnsi="Times New Roman" w:cs="Times New Roman"/>
          <w:spacing w:val="8"/>
        </w:rPr>
        <w:t>RA-FLSS</w:t>
      </w:r>
      <w:r>
        <w:rPr>
          <w:rStyle w:val="any"/>
          <w:rFonts w:ascii="PMingLiU" w:eastAsia="PMingLiU" w:hAnsi="PMingLiU" w:cs="PMingLiU"/>
          <w:spacing w:val="8"/>
        </w:rPr>
        <w:t>的抗侵入性活性，并阐明所涉及的机制。我们研究了</w:t>
      </w:r>
      <w:r>
        <w:rPr>
          <w:rStyle w:val="any"/>
          <w:rFonts w:ascii="Times New Roman" w:eastAsia="Times New Roman" w:hAnsi="Times New Roman" w:cs="Times New Roman"/>
          <w:spacing w:val="8"/>
        </w:rPr>
        <w:t>Celastrol</w:t>
      </w:r>
      <w:r>
        <w:rPr>
          <w:rStyle w:val="any"/>
          <w:rFonts w:ascii="PMingLiU" w:eastAsia="PMingLiU" w:hAnsi="PMingLiU" w:cs="PMingLiU"/>
          <w:spacing w:val="8"/>
        </w:rPr>
        <w:t>对</w:t>
      </w:r>
      <w:r>
        <w:rPr>
          <w:rStyle w:val="any"/>
          <w:rFonts w:ascii="Times New Roman" w:eastAsia="Times New Roman" w:hAnsi="Times New Roman" w:cs="Times New Roman"/>
          <w:spacing w:val="8"/>
        </w:rPr>
        <w:t>LPS</w:t>
      </w:r>
      <w:r>
        <w:rPr>
          <w:rStyle w:val="any"/>
          <w:rFonts w:ascii="PMingLiU" w:eastAsia="PMingLiU" w:hAnsi="PMingLiU" w:cs="PMingLiU"/>
          <w:spacing w:val="8"/>
        </w:rPr>
        <w:t>诱导的</w:t>
      </w:r>
      <w:r>
        <w:rPr>
          <w:rStyle w:val="any"/>
          <w:rFonts w:ascii="Times New Roman" w:eastAsia="Times New Roman" w:hAnsi="Times New Roman" w:cs="Times New Roman"/>
          <w:spacing w:val="8"/>
        </w:rPr>
        <w:t>FLS</w:t>
      </w:r>
      <w:r>
        <w:rPr>
          <w:rStyle w:val="any"/>
          <w:rFonts w:ascii="PMingLiU" w:eastAsia="PMingLiU" w:hAnsi="PMingLiU" w:cs="PMingLiU"/>
          <w:spacing w:val="8"/>
        </w:rPr>
        <w:t>迁移和侵袭以及</w:t>
      </w:r>
      <w:r>
        <w:rPr>
          <w:rStyle w:val="any"/>
          <w:rFonts w:ascii="Times New Roman" w:eastAsia="Times New Roman" w:hAnsi="Times New Roman" w:cs="Times New Roman"/>
          <w:spacing w:val="8"/>
        </w:rPr>
        <w:t>MMP</w:t>
      </w:r>
      <w:r>
        <w:rPr>
          <w:rStyle w:val="any"/>
          <w:rFonts w:ascii="PMingLiU" w:eastAsia="PMingLiU" w:hAnsi="PMingLiU" w:cs="PMingLiU"/>
          <w:spacing w:val="8"/>
        </w:rPr>
        <w:t>表达的影响，并探索了上游信号转导。结果表明，</w:t>
      </w:r>
      <w:r>
        <w:rPr>
          <w:rStyle w:val="any"/>
          <w:rFonts w:ascii="Times New Roman" w:eastAsia="Times New Roman" w:hAnsi="Times New Roman" w:cs="Times New Roman"/>
          <w:spacing w:val="8"/>
        </w:rPr>
        <w:t>Celastrol</w:t>
      </w:r>
      <w:r>
        <w:rPr>
          <w:rStyle w:val="any"/>
          <w:rFonts w:ascii="PMingLiU" w:eastAsia="PMingLiU" w:hAnsi="PMingLiU" w:cs="PMingLiU"/>
          <w:spacing w:val="8"/>
        </w:rPr>
        <w:t>通过抑制</w:t>
      </w:r>
      <w:r>
        <w:rPr>
          <w:rStyle w:val="any"/>
          <w:rFonts w:ascii="Times New Roman" w:eastAsia="Times New Roman" w:hAnsi="Times New Roman" w:cs="Times New Roman"/>
          <w:spacing w:val="8"/>
        </w:rPr>
        <w:t>MMP-9</w:t>
      </w:r>
      <w:r>
        <w:rPr>
          <w:rStyle w:val="any"/>
          <w:rFonts w:ascii="PMingLiU" w:eastAsia="PMingLiU" w:hAnsi="PMingLiU" w:cs="PMingLiU"/>
          <w:spacing w:val="8"/>
        </w:rPr>
        <w:t>的表达和活性来抑制</w:t>
      </w:r>
      <w:r>
        <w:rPr>
          <w:rStyle w:val="any"/>
          <w:rFonts w:ascii="Times New Roman" w:eastAsia="Times New Roman" w:hAnsi="Times New Roman" w:cs="Times New Roman"/>
          <w:spacing w:val="8"/>
        </w:rPr>
        <w:t>LPS</w:t>
      </w:r>
      <w:r>
        <w:rPr>
          <w:rStyle w:val="any"/>
          <w:rFonts w:ascii="PMingLiU" w:eastAsia="PMingLiU" w:hAnsi="PMingLiU" w:cs="PMingLiU"/>
          <w:spacing w:val="8"/>
        </w:rPr>
        <w:t>刺激的</w:t>
      </w:r>
      <w:r>
        <w:rPr>
          <w:rStyle w:val="any"/>
          <w:rFonts w:ascii="Times New Roman" w:eastAsia="Times New Roman" w:hAnsi="Times New Roman" w:cs="Times New Roman"/>
          <w:spacing w:val="8"/>
        </w:rPr>
        <w:t>FL</w:t>
      </w:r>
      <w:r>
        <w:rPr>
          <w:rStyle w:val="any"/>
          <w:rFonts w:ascii="PMingLiU" w:eastAsia="PMingLiU" w:hAnsi="PMingLiU" w:cs="PMingLiU"/>
          <w:spacing w:val="8"/>
        </w:rPr>
        <w:t>迁移和侵袭。此外，我们的结果表明，</w:t>
      </w:r>
      <w:r>
        <w:rPr>
          <w:rStyle w:val="any"/>
          <w:rFonts w:ascii="Times New Roman" w:eastAsia="Times New Roman" w:hAnsi="Times New Roman" w:cs="Times New Roman"/>
          <w:spacing w:val="8"/>
        </w:rPr>
        <w:t>Celastrol</w:t>
      </w:r>
      <w:r>
        <w:rPr>
          <w:rStyle w:val="any"/>
          <w:rFonts w:ascii="PMingLiU" w:eastAsia="PMingLiU" w:hAnsi="PMingLiU" w:cs="PMingLiU"/>
          <w:spacing w:val="8"/>
        </w:rPr>
        <w:t>通过抑制</w:t>
      </w:r>
      <w:r>
        <w:rPr>
          <w:rStyle w:val="any"/>
          <w:rFonts w:ascii="Times New Roman" w:eastAsia="Times New Roman" w:hAnsi="Times New Roman" w:cs="Times New Roman"/>
          <w:spacing w:val="8"/>
        </w:rPr>
        <w:t>MMP-KB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MMP-9</w:t>
      </w:r>
      <w:r>
        <w:rPr>
          <w:rStyle w:val="any"/>
          <w:rFonts w:ascii="PMingLiU" w:eastAsia="PMingLiU" w:hAnsi="PMingLiU" w:cs="PMingLiU"/>
          <w:spacing w:val="8"/>
        </w:rPr>
        <w:t>启动子中的结合活性来抑制</w:t>
      </w:r>
      <w:r>
        <w:rPr>
          <w:rStyle w:val="any"/>
          <w:rFonts w:ascii="Times New Roman" w:eastAsia="Times New Roman" w:hAnsi="Times New Roman" w:cs="Times New Roman"/>
          <w:spacing w:val="8"/>
        </w:rPr>
        <w:t>MMP-9</w:t>
      </w:r>
      <w:r>
        <w:rPr>
          <w:rStyle w:val="any"/>
          <w:rFonts w:ascii="PMingLiU" w:eastAsia="PMingLiU" w:hAnsi="PMingLiU" w:cs="PMingLiU"/>
          <w:spacing w:val="8"/>
        </w:rPr>
        <w:t>的转录活性，并抑制了</w:t>
      </w:r>
      <w:r>
        <w:rPr>
          <w:rStyle w:val="any"/>
          <w:rFonts w:ascii="Times New Roman" w:eastAsia="Times New Roman" w:hAnsi="Times New Roman" w:cs="Times New Roman"/>
          <w:spacing w:val="8"/>
        </w:rPr>
        <w:t>TLR4/MYD88/NF-KB</w:t>
      </w:r>
      <w:r>
        <w:rPr>
          <w:rStyle w:val="any"/>
          <w:rFonts w:ascii="PMingLiU" w:eastAsia="PMingLiU" w:hAnsi="PMingLiU" w:cs="PMingLiU"/>
          <w:spacing w:val="8"/>
        </w:rPr>
        <w:t>途径。每天在胶原蛋白诱导的关节炎大鼠模型中，每天服用</w:t>
      </w:r>
      <w:r>
        <w:rPr>
          <w:rStyle w:val="any"/>
          <w:rFonts w:ascii="Times New Roman" w:eastAsia="Times New Roman" w:hAnsi="Times New Roman" w:cs="Times New Roman"/>
          <w:spacing w:val="8"/>
        </w:rPr>
        <w:t>Celastrol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0.5 mg/kg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1 mg/kg</w:t>
      </w:r>
      <w:r>
        <w:rPr>
          <w:rStyle w:val="any"/>
          <w:rFonts w:ascii="PMingLiU" w:eastAsia="PMingLiU" w:hAnsi="PMingLiU" w:cs="PMingLiU"/>
          <w:spacing w:val="8"/>
        </w:rPr>
        <w:t>，腹膜内）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周，显著缓解了关节的临床征兆，滑膜增生和炎性细胞浸润。总之，</w:t>
      </w:r>
      <w:r>
        <w:rPr>
          <w:rStyle w:val="any"/>
          <w:rFonts w:ascii="Times New Roman" w:eastAsia="Times New Roman" w:hAnsi="Times New Roman" w:cs="Times New Roman"/>
          <w:spacing w:val="8"/>
        </w:rPr>
        <w:t>Celastrol</w:t>
      </w:r>
      <w:r>
        <w:rPr>
          <w:rStyle w:val="any"/>
          <w:rFonts w:ascii="PMingLiU" w:eastAsia="PMingLiU" w:hAnsi="PMingLiU" w:cs="PMingLiU"/>
          <w:spacing w:val="8"/>
        </w:rPr>
        <w:t>可以通过抑制</w:t>
      </w:r>
      <w:r>
        <w:rPr>
          <w:rStyle w:val="any"/>
          <w:rFonts w:ascii="Times New Roman" w:eastAsia="Times New Roman" w:hAnsi="Times New Roman" w:cs="Times New Roman"/>
          <w:spacing w:val="8"/>
        </w:rPr>
        <w:t>LPS</w:t>
      </w:r>
      <w:r>
        <w:rPr>
          <w:rStyle w:val="any"/>
          <w:rFonts w:ascii="PMingLiU" w:eastAsia="PMingLiU" w:hAnsi="PMingLiU" w:cs="PMingLiU"/>
          <w:spacing w:val="8"/>
        </w:rPr>
        <w:t>抑制</w:t>
      </w:r>
      <w:r>
        <w:rPr>
          <w:rStyle w:val="any"/>
          <w:rFonts w:ascii="Times New Roman" w:eastAsia="Times New Roman" w:hAnsi="Times New Roman" w:cs="Times New Roman"/>
          <w:spacing w:val="8"/>
        </w:rPr>
        <w:t>TLR4/NF-KB</w:t>
      </w:r>
      <w:r>
        <w:rPr>
          <w:rStyle w:val="any"/>
          <w:rFonts w:ascii="PMingLiU" w:eastAsia="PMingLiU" w:hAnsi="PMingLiU" w:cs="PMingLiU"/>
          <w:spacing w:val="8"/>
        </w:rPr>
        <w:t>介导的</w:t>
      </w:r>
      <w:r>
        <w:rPr>
          <w:rStyle w:val="any"/>
          <w:rFonts w:ascii="Times New Roman" w:eastAsia="Times New Roman" w:hAnsi="Times New Roman" w:cs="Times New Roman"/>
          <w:spacing w:val="8"/>
        </w:rPr>
        <w:t>MMP-9</w:t>
      </w:r>
      <w:r>
        <w:rPr>
          <w:rStyle w:val="any"/>
          <w:rFonts w:ascii="PMingLiU" w:eastAsia="PMingLiU" w:hAnsi="PMingLiU" w:cs="PMingLiU"/>
          <w:spacing w:val="8"/>
        </w:rPr>
        <w:t>表达来抑制</w:t>
      </w:r>
      <w:r>
        <w:rPr>
          <w:rStyle w:val="any"/>
          <w:rFonts w:ascii="Times New Roman" w:eastAsia="Times New Roman" w:hAnsi="Times New Roman" w:cs="Times New Roman"/>
          <w:spacing w:val="8"/>
        </w:rPr>
        <w:t>LPS</w:t>
      </w:r>
      <w:r>
        <w:rPr>
          <w:rStyle w:val="any"/>
          <w:rFonts w:ascii="PMingLiU" w:eastAsia="PMingLiU" w:hAnsi="PMingLiU" w:cs="PMingLiU"/>
          <w:spacing w:val="8"/>
        </w:rPr>
        <w:t>诱导的</w:t>
      </w:r>
      <w:r>
        <w:rPr>
          <w:rStyle w:val="any"/>
          <w:rFonts w:ascii="Times New Roman" w:eastAsia="Times New Roman" w:hAnsi="Times New Roman" w:cs="Times New Roman"/>
          <w:spacing w:val="8"/>
        </w:rPr>
        <w:t>FL</w:t>
      </w:r>
      <w:r>
        <w:rPr>
          <w:rStyle w:val="any"/>
          <w:rFonts w:ascii="PMingLiU" w:eastAsia="PMingLiU" w:hAnsi="PMingLiU" w:cs="PMingLiU"/>
          <w:spacing w:val="8"/>
        </w:rPr>
        <w:t>迁移和侵袭，从而为</w:t>
      </w:r>
      <w:r>
        <w:rPr>
          <w:rStyle w:val="any"/>
          <w:rFonts w:ascii="Times New Roman" w:eastAsia="Times New Roman" w:hAnsi="Times New Roman" w:cs="Times New Roman"/>
          <w:spacing w:val="8"/>
        </w:rPr>
        <w:t>RA</w:t>
      </w:r>
      <w:r>
        <w:rPr>
          <w:rStyle w:val="any"/>
          <w:rFonts w:ascii="PMingLiU" w:eastAsia="PMingLiU" w:hAnsi="PMingLiU" w:cs="PMingLiU"/>
          <w:spacing w:val="8"/>
        </w:rPr>
        <w:t>用</w:t>
      </w:r>
      <w:r>
        <w:rPr>
          <w:rStyle w:val="any"/>
          <w:rFonts w:ascii="Times New Roman" w:eastAsia="Times New Roman" w:hAnsi="Times New Roman" w:cs="Times New Roman"/>
          <w:spacing w:val="8"/>
        </w:rPr>
        <w:t>Celastrol</w:t>
      </w:r>
      <w:r>
        <w:rPr>
          <w:rStyle w:val="any"/>
          <w:rFonts w:ascii="PMingLiU" w:eastAsia="PMingLiU" w:hAnsi="PMingLiU" w:cs="PMingLiU"/>
          <w:spacing w:val="8"/>
        </w:rPr>
        <w:t>临床治疗</w:t>
      </w:r>
      <w:r>
        <w:rPr>
          <w:rStyle w:val="any"/>
          <w:rFonts w:ascii="Times New Roman" w:eastAsia="Times New Roman" w:hAnsi="Times New Roman" w:cs="Times New Roman"/>
          <w:spacing w:val="8"/>
        </w:rPr>
        <w:t>RA</w:t>
      </w:r>
      <w:r>
        <w:rPr>
          <w:rStyle w:val="any"/>
          <w:rFonts w:ascii="PMingLiU" w:eastAsia="PMingLiU" w:hAnsi="PMingLiU" w:cs="PMingLiU"/>
          <w:spacing w:val="8"/>
        </w:rPr>
        <w:t>提供了理论基础。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[81173603]</w:t>
      </w:r>
      <w:r>
        <w:rPr>
          <w:rStyle w:val="any"/>
          <w:rFonts w:ascii="PMingLiU" w:eastAsia="PMingLiU" w:hAnsi="PMingLiU" w:cs="PMingLiU"/>
          <w:spacing w:val="8"/>
        </w:rPr>
        <w:t>；江苏省研究生科研创新项目</w:t>
      </w:r>
      <w:r>
        <w:rPr>
          <w:rStyle w:val="any"/>
          <w:rFonts w:ascii="Times New Roman" w:eastAsia="Times New Roman" w:hAnsi="Times New Roman" w:cs="Times New Roman"/>
          <w:spacing w:val="8"/>
        </w:rPr>
        <w:t>[CXZZ11-0998]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Yanqing Liu</w:t>
      </w:r>
      <w:r>
        <w:rPr>
          <w:rStyle w:val="any"/>
          <w:rFonts w:ascii="PMingLiU" w:eastAsia="PMingLiU" w:hAnsi="PMingLiU" w:cs="PMingLiU"/>
          <w:spacing w:val="8"/>
        </w:rPr>
        <w:t>（刘严庆），现为</w:t>
      </w:r>
      <w:r>
        <w:rPr>
          <w:rStyle w:val="any"/>
          <w:rFonts w:ascii="PMingLiU" w:eastAsia="PMingLiU" w:hAnsi="PMingLiU" w:cs="PMingLiU"/>
          <w:spacing w:val="8"/>
        </w:rPr>
        <w:t>扬州大学医学院二级教授，</w:t>
      </w:r>
      <w:r>
        <w:rPr>
          <w:rStyle w:val="any"/>
          <w:rFonts w:ascii="PMingLiU" w:eastAsia="PMingLiU" w:hAnsi="PMingLiU" w:cs="PMingLiU"/>
          <w:spacing w:val="8"/>
        </w:rPr>
        <w:t>医学博士，主任中医师，中西医结合硕士、博士研究生导师，第六批全国名老中医经验传承指导老师，扬州市名中医。曾两次赴日本留学，是日本昭和大学客座教授。国家中医药管理局重点研究室（肿瘤）主任，中华中医药学会肿瘤分会荣誉副会长，江苏省中医肿瘤专业委员会荣誉主任委员，江苏省药理学会副理事长，世界中医联合会癌症姑息治疗专业委员会副主任委员，世界中医联合会肿瘤精准治疗专业委员会副主任委员，扬州大学</w:t>
      </w:r>
      <w:r>
        <w:rPr>
          <w:rStyle w:val="any"/>
          <w:rFonts w:ascii="Times New Roman" w:eastAsia="Times New Roman" w:hAnsi="Times New Roman" w:cs="Times New Roman"/>
          <w:spacing w:val="8"/>
        </w:rPr>
        <w:t>--</w:t>
      </w:r>
      <w:r>
        <w:rPr>
          <w:rStyle w:val="any"/>
          <w:rFonts w:ascii="PMingLiU" w:eastAsia="PMingLiU" w:hAnsi="PMingLiU" w:cs="PMingLiU"/>
          <w:spacing w:val="8"/>
        </w:rPr>
        <w:t>扬州市肿瘤研究所所长。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https://pubpeer.com/publications/4866AB960FF4846BD6103CE16E339B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https://pmc.ncbi.nlm.nih.gov/articles/PMC3701694/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763&amp;idx=7&amp;sn=bcecee6016430dddef15304e24b6df9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