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Flow Cytometry Plot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和部分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LPS Plot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在其他论文中发表！齐齐哈尔医学院第三附属医院论文被撤稿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Immunity, Inflammation and Disease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"Expression and significant roles of the lncRNA NEAT1/miR-493-5p/Rab27A axis in ulcerative colitis“lncRNA NEAT1/miR-493-5p/Rab27A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10.1002/iid3.814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这篇论文中的一个图与另一篇无关论文中的一个图意外地相似。它们之间存在一些常见的数据点簇或组合，而这些簇或组合不太可能偶然出现等问题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。该论文由来自齐齐哈尔医学院第三附属医院临床技能实验中心；齐齐哈尔医学院第三附属医院内镜中心；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齐齐哈尔医学院第三附属医院消化内科的作者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Hecheng Wang , Jiadan Teng , Mingtao Wang , Yuhang Zhang , Xiaoshuang Liu , Zhuya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Jiadan Teng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齐齐哈尔医学院第三附属医院内镜中心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7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有些人可能对这两篇不相关的论文之间的风格相似性感到好奇。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10.1186/s13018-023-03661-4</w:t>
      </w:r>
      <w:r>
        <w:rPr>
          <w:rStyle w:val="any"/>
          <w:rFonts w:ascii="PMingLiU" w:eastAsia="PMingLiU" w:hAnsi="PMingLiU" w:cs="PMingLiU"/>
          <w:spacing w:val="8"/>
        </w:rPr>
        <w:t>，讨论于此：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https://pubpeer.com/publications/4FACAC31449FD7F66C26B24192EFEA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1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17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这篇论文中的一个情节似乎也出现在同一期刊的另一篇论文中，但没有共同的作者。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10.1002/iid3.811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https://pubpeer.com/publications/48154F4D71DC73EF00F28709FFDB1A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93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6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Bioengineered (2022)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10.1080/21655979.2022.2073319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https://pubpeer.com/publications/7D3628576702180573A97BE2DA67F8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193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34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8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Marc Veldhoen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John Wiley &amp; Sons Ltd.</w:t>
      </w:r>
      <w:r>
        <w:rPr>
          <w:rStyle w:val="any"/>
          <w:rFonts w:ascii="PMingLiU" w:eastAsia="PMingLiU" w:hAnsi="PMingLiU" w:cs="PMingLiU"/>
          <w:spacing w:val="8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LPS+lncRNA NEAT1-sRNA+</w:t>
      </w:r>
      <w:r>
        <w:rPr>
          <w:rStyle w:val="any"/>
          <w:rFonts w:ascii="PMingLiU" w:eastAsia="PMingLiU" w:hAnsi="PMingLiU" w:cs="PMingLiU"/>
          <w:spacing w:val="8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63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81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https://pmc.ncbi.nlm.nih.gov/articles/PMC10187010/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齐齐哈尔医学院第三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齐齐哈尔医学院第三附属医院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4259922750272309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769&amp;idx=1&amp;sn=a8098ea90a0c5ca17f05ed60f3cfa3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