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第四军医大学西京医院院长团队论文被指图片重叠，学术诚信再受挑战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17:34:29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30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907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2012年6月，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第四军医大学西京医院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Brain Research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Noninvasive limb remote ischemic preconditioning contributes neuroprotective effects via activation of adenosine A1 receptor and redox status after transient focal cerebral ischemia in rats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无创肢体远端缺血预处理通过激活腺苷 A1 受体和大鼠短暂局灶性脑缺血后的氧化还原状态发挥神经保护作用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本研究得到了陕西省社会发展研究项目（批准号：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2010K15-01-02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to Sheng Hu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10.1016/j.brainres.2012.04.017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第四军医大学西京医院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Sheng 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第四军医大学西京医院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Lize Xiong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（音译：熊利泽）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37065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18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7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我们在您的一幅图中发现了意外的重叠（见下图）。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376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5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https://pubpeer.com/publications/D10897F3E3C83DC9FDA0E73B01A2CE#0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29&amp;idx=4&amp;sn=db7ef0e24dcb02f33d193a017a8423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