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中国医科大学附属盛京医院副院长刘彩刚团队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篇论文被指图像重复，涉及多个权威期刊，背后基金资助成果可信度遭挑战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15:44:00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76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论文一简介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FSIP1 enhances the therapeutic sensitivity to CDK4/6 inhibitors in triplenegative breast cancer patients by activating the Nanog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Guanglei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Lisha Sun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Xi Gu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Liping Ai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Caigang Liu(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刘彩刚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Science China Life Sciences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9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5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77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27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54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47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论文二简介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CMTM6 overexpression confers trastuzumab resistance in HER2positive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Fei Xing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Caigang Liu(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刘彩刚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Molecular Cancer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6769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10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7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19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653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14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44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论文三简介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Targeting SOST using a smallmolecule compound retards breast cancer bone metastasis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Lisha Sun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Yixiao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Guanglei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Caigang Liu(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刘彩刚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武汉大学口腔医学院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Yaoting Ji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中国科学院大连化学物理研究所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Sijin Wu(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吴思晋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Molecular Cancer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283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35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32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S2C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存在三处重叠。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749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65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Part.7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27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论文四简介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Prognostic significance of GSTP1 in patients with triplenegative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Guanglei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Hao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Caigang Liu(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刘彩刚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中国医科大学附属第一医院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Lisha Sun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吉林大学第二医院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Yingchao Zhang(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张颖超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317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33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Part.8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63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论文五简介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Binding blockade between TLN1 and integrin β1 represses triplenegative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Yixiao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Lisha Sun(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孙丽莎）、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Caigang Liu(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刘彩刚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大连理工大学生物工程学院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Haonan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Yongliang Yang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杨永亮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eLife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6439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72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Part.9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51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和论文五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存在一处重叠。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7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论文一 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国家自然科学基金（82203804、81872159）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中国医科大学附属盛京医院 “345人才工程 ”的资助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论文二 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国家自然科学基金（编号：81872159）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辽宁省青年拔尖人才项目（编号：XLYC1807099）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中国医科大学附属盛京医院345人才项目的资助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论文三 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国家自然科学基金（81872159、81902607）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中国医科大学附属盛京医院 “345人才工程 ”项目的资助。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论文四 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国家自然科学基金（81402384、31601142 和 81572609）的部分资助。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论文五 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 81872159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Caigang Liu.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辽宁高校创新人才支持计划 癌症干细胞起源和生物行为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Yongliang Yang.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盛京医院优秀科学基金 201803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Caigang Liu.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辽宁省优秀青年学者 2019-YQ-10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Caigang Liu.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 81902607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Yixiao Zhang.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 81874301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Yongliang Yang.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https://pmc.ncbi.nlm.nih.gov/articles/PMC9830830/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https://pubmed.ncbi.nlm.nih.gov/37460715/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https://pmc.ncbi.nlm.nih.gov/articles/PMC9798707/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https://pubmed.ncbi.nlm.nih.gov/28978147/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https://elifesciences.org/articles/68481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063&amp;idx=1&amp;sn=7aed3862c1b40dfa73bb3f58d71577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