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0004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37276"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17674"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54709"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691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