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8833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76381"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23131"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84928"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21467"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19452"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