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北京协和医学院的论文被质疑，因图像面板多处重叠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13:53:37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Nonfouling Core-Shell Microneedle for Sequential and Sustained Drug Release: Enhancing Synergistic Photothermal Chemotherapy in Melanoma Treatment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期刊：ACS Applied Bio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天津大学&amp;中国医学科学院&amp;北京协和医学院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发表时间：2025年4月3日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10.1021/acsabm.5c00120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661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5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089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“PAMAM 48 h”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下显示的荧光显微镜图像似乎与图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“DOX@PAMAM-TM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48 h”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下显示的图像相同，尽管被标记为具有不同成分的不同处理。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71975" cy="476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9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7c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中，标记为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“DOX@PAMAM-TM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微针贴片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V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的荧光图像在旋转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180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度后似乎与标记为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“DOX@PAMAM-TM/ICG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微针贴片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+ NIR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VIII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的图像相似。尽管荧光强度存在差异，但空间模式、组织结构和荧光分布几乎相同。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86350" cy="31146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321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https://pubs.acs.org/doi/10.1021/acsabm.5c00120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8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91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49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17&amp;idx=5&amp;sn=b8fb591f19b4f44810a58127396495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