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杰出学者康毅滨团队发表的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16:45:45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23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323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2011年8月7日，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普林斯顿大学康毅滨团队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Nature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FFFFFF"/>
        </w:rPr>
        <w:t>（IF=59）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Direct targeting of Sec23a by miR-200s influences cancer cell secretome and promotes metastatic colonization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82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12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38400" cy="1295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48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对所有图片（非蛋白印迹）进行检测，iFigures发现文章内1对图片重复：图S8A-3与S8A-4出现部分重叠，但明显代表不一样的实验结果。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44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与杂志社联系更正文章重复的图片。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81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839&amp;idx=1&amp;sn=31e8401d8e26fc3db18fee143de1d2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