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知名药企联合研究论文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Stat Med.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突现空白页风波，背后隐情曝光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28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411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Design and sample size determination for multiple - dose randomized phase II trials for dose optimization</w:t>
      </w:r>
      <w:r>
        <w:rPr>
          <w:rStyle w:val="any"/>
          <w:rFonts w:ascii="PMingLiU" w:eastAsia="PMingLiU" w:hAnsi="PMingLiU" w:cs="PMingLiU"/>
          <w:spacing w:val="8"/>
        </w:rPr>
        <w:t>》的研究论文在《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年的影响因子为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1.8</w:t>
      </w:r>
      <w:r>
        <w:rPr>
          <w:rStyle w:val="any"/>
          <w:rFonts w:ascii="PMingLiU" w:eastAsia="PMingLiU" w:hAnsi="PMingLiU" w:cs="PMingLiU"/>
          <w:spacing w:val="8"/>
        </w:rPr>
        <w:t>。该研究由来自美国莱斯大学统计系、德克萨斯大学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 </w:t>
      </w:r>
      <w:r>
        <w:rPr>
          <w:rStyle w:val="any"/>
          <w:rFonts w:ascii="PMingLiU" w:eastAsia="PMingLiU" w:hAnsi="PMingLiU" w:cs="PMingLiU"/>
          <w:spacing w:val="8"/>
        </w:rPr>
        <w:t>安德森癌症中心生物统计系、百时美施贵宝以及辉瑞公司的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Daniel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Ruitao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Yuan </w:t>
      </w:r>
      <w:r>
        <w:rPr>
          <w:rStyle w:val="any"/>
          <w:rFonts w:ascii="PMingLiU" w:eastAsia="PMingLiU" w:hAnsi="PMingLiU" w:cs="PMingLiU"/>
          <w:spacing w:val="8"/>
        </w:rPr>
        <w:t>等人共同完成。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12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这一研究聚焦于多剂量随机二期试验的设计和样本量确定，旨在实现剂量优化，对药物研发过程中的剂量设定环节具有重要意义，能为后续临床试验提供更科学的指导，提高药物研发效率与成功率。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日下午首次在相关页面留言称，文章页面在浏览器中显示为完全空白页。到第二天早上依旧空白，他出于礼貌将评论的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版本通过电子邮件发送给了作者，认为作者应该已经收到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的邮件通知。在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技术支持人员解决该技术问题期间，他与作者进行了数天的邮件交流。此外，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还在留言中提到，他对该论文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评论对这篇已发表在《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》上经同行评审的文章仍然适用，且他认为具有很大影响。他还进行了一项针对论文中表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的检查，该检查消除了蒙特卡罗误差，同时证实了关于作者在生成表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时可能存在编码错误的一个特定假设。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https://pubmed.ncbi.nlm.nih.gov/38747472/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135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41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5&amp;sn=2bd5598e8c9f8349de0848339be5d2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