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荧光显微镜图像与先前其他论文数据相似，四川省人民医院的论文被撤稿</w:t>
        </w:r>
        <w:r>
          <w:rPr>
            <w:rStyle w:val="a"/>
            <w:rFonts w:ascii="Times New Roman" w:eastAsia="Times New Roman" w:hAnsi="Times New Roman" w:cs="Times New Roman"/>
            <w:b w:val="0"/>
            <w:bCs w:val="0"/>
            <w:spacing w:val="8"/>
          </w:rPr>
          <w:t>.PMID: 32700750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2025-04-16 22:18:04</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56678"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49470"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27371"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2020年7月23日，</w:t>
      </w:r>
      <w:r>
        <w:rPr>
          <w:rStyle w:val="any"/>
          <w:rFonts w:ascii="PMingLiU" w:eastAsia="PMingLiU" w:hAnsi="PMingLiU" w:cs="PMingLiU"/>
          <w:color w:val="000000"/>
          <w:spacing w:val="0"/>
          <w:sz w:val="23"/>
          <w:szCs w:val="23"/>
          <w:shd w:val="clear" w:color="auto" w:fill="EEF0FF"/>
        </w:rPr>
        <w:t>四川省人民医院口腔科在</w:t>
      </w:r>
      <w:r>
        <w:rPr>
          <w:rStyle w:val="any"/>
          <w:rFonts w:ascii="Times New Roman" w:eastAsia="Times New Roman" w:hAnsi="Times New Roman" w:cs="Times New Roman"/>
          <w:color w:val="000000"/>
          <w:spacing w:val="0"/>
          <w:sz w:val="23"/>
          <w:szCs w:val="23"/>
          <w:shd w:val="clear" w:color="auto" w:fill="EEF0FF"/>
        </w:rPr>
        <w:t>Molecular Medicine Reports</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IF=3.4</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Grooved hydroxyapatite scaffold modulates mitochondria homeostasis and thus promotes osteogenesis in bone mesenchymal stromal cells"</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沟槽状羟基磷灰石支架调节线粒体稳态，从而促进骨间充质基质细胞的成骨作用</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四川省人民医院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Chenglong Li </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Times New Roman" w:eastAsia="Times New Roman" w:hAnsi="Times New Roman" w:cs="Times New Roman"/>
          <w:color w:val="000000"/>
          <w:spacing w:val="0"/>
          <w:sz w:val="23"/>
          <w:szCs w:val="23"/>
          <w:shd w:val="clear" w:color="auto" w:fill="EEF0FF"/>
        </w:rPr>
        <w:t> </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四川省人民医院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Yandong Mu</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牟雁东</w:t>
      </w:r>
      <w:r>
        <w:rPr>
          <w:rStyle w:val="any"/>
          <w:rFonts w:ascii="PMingLiU" w:eastAsia="PMingLiU" w:hAnsi="PMingLiU" w:cs="PMingLiU"/>
          <w:color w:val="000000"/>
          <w:spacing w:val="0"/>
          <w:sz w:val="23"/>
          <w:szCs w:val="23"/>
          <w:shd w:val="clear" w:color="auto" w:fill="EEF0FF"/>
        </w:rPr>
        <w:t>）</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spacing w:after="150" w:line="384" w:lineRule="atLeast"/>
        <w:ind w:left="525" w:right="720"/>
        <w:jc w:val="left"/>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本研究得到了青年科技创新团队专项计划（项目编号：</w:t>
      </w:r>
      <w:r>
        <w:rPr>
          <w:rStyle w:val="any"/>
          <w:rFonts w:ascii="Times New Roman" w:eastAsia="Times New Roman" w:hAnsi="Times New Roman" w:cs="Times New Roman"/>
          <w:spacing w:val="8"/>
          <w:sz w:val="23"/>
          <w:szCs w:val="23"/>
          <w:shd w:val="clear" w:color="auto" w:fill="EEF0FF"/>
        </w:rPr>
        <w:t>2016TD0008</w:t>
      </w:r>
      <w:r>
        <w:rPr>
          <w:rStyle w:val="any"/>
          <w:rFonts w:ascii="PMingLiU" w:eastAsia="PMingLiU" w:hAnsi="PMingLiU" w:cs="PMingLiU"/>
          <w:spacing w:val="8"/>
          <w:sz w:val="23"/>
          <w:szCs w:val="23"/>
          <w:shd w:val="clear" w:color="auto" w:fill="EEF0FF"/>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3268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75760" name=""/>
                    <pic:cNvPicPr>
                      <a:picLocks noChangeAspect="1"/>
                    </pic:cNvPicPr>
                  </pic:nvPicPr>
                  <pic:blipFill>
                    <a:blip xmlns:r="http://schemas.openxmlformats.org/officeDocument/2006/relationships" r:embed="rId9"/>
                    <a:stretch>
                      <a:fillRect/>
                    </a:stretch>
                  </pic:blipFill>
                  <pic:spPr>
                    <a:xfrm>
                      <a:off x="0" y="0"/>
                      <a:ext cx="5486400" cy="503268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27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16845" name=""/>
                    <pic:cNvPicPr>
                      <a:picLocks noChangeAspect="1"/>
                    </pic:cNvPicPr>
                  </pic:nvPicPr>
                  <pic:blipFill>
                    <a:blip xmlns:r="http://schemas.openxmlformats.org/officeDocument/2006/relationships" r:embed="rId10"/>
                    <a:stretch>
                      <a:fillRect/>
                    </a:stretch>
                  </pic:blipFill>
                  <pic:spPr>
                    <a:xfrm>
                      <a:off x="0" y="0"/>
                      <a:ext cx="5486400" cy="362712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38949"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Times New Roman" w:eastAsia="Times New Roman" w:hAnsi="Times New Roman" w:cs="Times New Roman"/>
          <w:color w:val="3E3E3E"/>
          <w:spacing w:val="0"/>
          <w:sz w:val="21"/>
          <w:szCs w:val="21"/>
        </w:rPr>
        <w:t>Three papers share some of the same images. There are also some internal overlapping areas.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10.2147/dddt.s181798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10.3892/mmr.2020.11352</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10.3892/ol.2018.8767</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38328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08347" name=""/>
                    <pic:cNvPicPr>
                      <a:picLocks noChangeAspect="1"/>
                    </pic:cNvPicPr>
                  </pic:nvPicPr>
                  <pic:blipFill>
                    <a:blip xmlns:r="http://schemas.openxmlformats.org/officeDocument/2006/relationships" r:embed="rId12"/>
                    <a:stretch>
                      <a:fillRect/>
                    </a:stretch>
                  </pic:blipFill>
                  <pic:spPr>
                    <a:xfrm>
                      <a:off x="0" y="0"/>
                      <a:ext cx="5486400" cy="3383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07426"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本文已于2025年4月7日被撤回：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PMingLiU" w:eastAsia="PMingLiU" w:hAnsi="PMingLiU" w:cs="PMingLiU"/>
          <w:color w:val="000000"/>
          <w:spacing w:val="0"/>
          <w:sz w:val="21"/>
          <w:szCs w:val="21"/>
        </w:rPr>
        <w:t>在上述论文发表后，一位关注此事的读者向编辑指出，第</w:t>
      </w:r>
      <w:r>
        <w:rPr>
          <w:rStyle w:val="any"/>
          <w:rFonts w:ascii="Times New Roman" w:eastAsia="Times New Roman" w:hAnsi="Times New Roman" w:cs="Times New Roman"/>
          <w:color w:val="000000"/>
          <w:spacing w:val="0"/>
          <w:sz w:val="21"/>
          <w:szCs w:val="21"/>
        </w:rPr>
        <w:t>2805</w:t>
      </w:r>
      <w:r>
        <w:rPr>
          <w:rStyle w:val="any"/>
          <w:rFonts w:ascii="PMingLiU" w:eastAsia="PMingLiU" w:hAnsi="PMingLiU" w:cs="PMingLiU"/>
          <w:color w:val="000000"/>
          <w:spacing w:val="0"/>
          <w:sz w:val="21"/>
          <w:szCs w:val="21"/>
        </w:rPr>
        <w:t>页图</w:t>
      </w:r>
      <w:r>
        <w:rPr>
          <w:rStyle w:val="any"/>
          <w:rFonts w:ascii="Times New Roman" w:eastAsia="Times New Roman" w:hAnsi="Times New Roman" w:cs="Times New Roman"/>
          <w:color w:val="000000"/>
          <w:spacing w:val="0"/>
          <w:sz w:val="21"/>
          <w:szCs w:val="21"/>
        </w:rPr>
        <w:t>2C</w:t>
      </w:r>
      <w:r>
        <w:rPr>
          <w:rStyle w:val="any"/>
          <w:rFonts w:ascii="PMingLiU" w:eastAsia="PMingLiU" w:hAnsi="PMingLiU" w:cs="PMingLiU"/>
          <w:color w:val="000000"/>
          <w:spacing w:val="0"/>
          <w:sz w:val="21"/>
          <w:szCs w:val="21"/>
        </w:rPr>
        <w:t>中展示的某些荧光显微镜图像与先前由不同研究机构的不同作者在其他论文中发表的数据惊人地相似。鉴于上述数据在提交至《</w:t>
      </w:r>
      <w:r>
        <w:rPr>
          <w:rStyle w:val="any"/>
          <w:rFonts w:ascii="Times New Roman" w:eastAsia="Times New Roman" w:hAnsi="Times New Roman" w:cs="Times New Roman"/>
          <w:color w:val="000000"/>
          <w:spacing w:val="0"/>
          <w:sz w:val="21"/>
          <w:szCs w:val="21"/>
        </w:rPr>
        <w:t>Molecular Medicine Reports</w:t>
      </w:r>
      <w:r>
        <w:rPr>
          <w:rStyle w:val="any"/>
          <w:rFonts w:ascii="PMingLiU" w:eastAsia="PMingLiU" w:hAnsi="PMingLiU" w:cs="PMingLiU"/>
          <w:color w:val="000000"/>
          <w:spacing w:val="0"/>
          <w:sz w:val="21"/>
          <w:szCs w:val="21"/>
        </w:rPr>
        <w:t>》之前显然已经发表过，编辑决定撤回本论文。编辑曾要求作者就这些质疑作出解释，但编辑部未收到令人满意的答复。编辑对因此给读者造成的不便表示歉意。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https://pubpeer.com/publications/161B5E832B9B86812FDDAA9547B10D#0</w:t>
      </w:r>
      <w:r>
        <w:rPr>
          <w:rStyle w:val="any"/>
          <w:rFonts w:ascii="Times New Roman" w:eastAsia="Times New Roman" w:hAnsi="Times New Roman" w:cs="Times New Roman"/>
          <w:color w:val="3E3E3E"/>
          <w:spacing w:val="8"/>
          <w:sz w:val="20"/>
          <w:szCs w:val="20"/>
        </w:rPr>
        <w:t>https://pubmed.ncbi.nlm.nih.gov/32700750/</w:t>
      </w:r>
      <w:r>
        <w:rPr>
          <w:rStyle w:val="any"/>
          <w:rFonts w:ascii="Times New Roman" w:eastAsia="Times New Roman" w:hAnsi="Times New Roman" w:cs="Times New Roman"/>
          <w:color w:val="3E3E3E"/>
          <w:spacing w:val="8"/>
          <w:sz w:val="20"/>
          <w:szCs w:val="20"/>
        </w:rPr>
        <w:t>https://www.spandidos-publications.com/10.3892/mmr.2025.13519</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80093"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3"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25395"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78460"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8.emf" /><Relationship Id="rId29" Type="http://schemas.openxmlformats.org/officeDocument/2006/relationships/image" Target="media/image9.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2208&amp;idx=2&amp;sn=b64584192af7be54007852775e61efe3"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