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快讯！同济大学尹贻蒙团队合作发表的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14:15:29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57825" cy="10572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98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3429000" cy="196833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93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信科研编辑部通过筛库，发现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同济大学尹贻蒙团队（谢志远为第一作者）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Nature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上在线发表题为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DNA-guided transcription factor interactions extend human gene regulatory code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的研究论文，文章内存在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对图片重复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886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7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类的图片，只获取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后的图片；如果有放大类的图片，只获取放大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514600" cy="1876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25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对所有图片进行检测，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发现有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对图片重复使用：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E7A-2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E7A-3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是一样的图片，但是代表明显不同的实验结果。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27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5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诚信科研编辑部建议作者核查原始数据，进一步更正文章重复的图片。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2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9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76&amp;idx=1&amp;sn=ed68907bef5ececbfb5f8cc76a65db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