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Biol Ther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22:45:11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2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692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1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92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09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32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49869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81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年，来自山东大学药学院的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Jing Liu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Cai Zhang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（通讯作者）等人在《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Cancer Biology &amp; Therapy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》（《癌症生物学与治疗》）发表了一篇题为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Pim-3 enhances melanoma cell migration and invasion by promoting STAT3 phosphorylation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通过促进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磷酸化增强黑色素瘤细胞的迁移和侵袭》）的论文。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激酶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在黑色素瘤转移中的作用，发现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信号通路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促进肿瘤细胞的迁移和侵袭。研究采用体外实验（如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Transwell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迁移和侵袭实验）以及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分析，表明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的高表达增强了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的磷酸化，从而促进肿瘤的恶性行为。然而，该研究的实验数据存在一定局限性，例如：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缺乏体内实验验证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（如动物模型），仅依赖细胞实验可能无法完全模拟肿瘤微环境的影响；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机制研究不够深入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，未明确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如何特异性激活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，也未探讨其他可能的信号通路交叉作用；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样本量较小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，统计分析的稳健性可能不足。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尽管该研究为黑色素瘤的分子机制提供了新视角，但其结论的可靠性仍需更多实验支持。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44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052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92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69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54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月，一位署名为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Ponerorchis camptoceras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的用户在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上对该论文提出质疑：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735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我注意到图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中两个不同组的图像似乎共享重叠区域，只有背景被改变。作者能否解释一下这是为什么？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该评论指出，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（可能为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或细胞迁移实验）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中的两组数据存在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异常相似性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，仅背景调整不同，可能涉及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图像重复使用或不当修改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月，作者尚未公开回应这一质疑。若属实，可能影响实验结果的真实性，需进一步核查原始数据。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7461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74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https://pubpeer.com/publications/E4F0551887EE049F1027DEF0DFC9BB#0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8&amp;idx=1&amp;sn=435b41cbe6bb093c903a707d7c356d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