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中国医科大学吴安华团队论文再遭质疑：作者回应质疑无效！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18:27:00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3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近日，中国医科大学第一医院吴安华团队的一篇发表在《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》的学术论文因图片重复问题引发了外界的持续关注。这篇论文此前已经过更正，但更正后的版本仍被发现存在图片重复的情况，引发学术界对研究严谨性和科学规范的质疑。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Lithium enhances the antitumour effect of temozolomide against TP53 wildtype glioblastoma cells via NFAT1/FasL signalling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（锂通过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第一作者：韩晟（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Sheng Han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通讯作者：吴安华（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Anhua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第一单位：中国医科大学第一医院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合作单位：暂无公开合作单位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99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3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这篇论文最初发表于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日，报告了锂能够通过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野生型胶质母细胞瘤细胞的抗肿瘤作用。然而，有研究者指出，论文中多张实验图片疑似存在重复使用的问题。随后，经过期刊编辑部的审查，该团队对文章进行了更正。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更正后的论文虽然对部分实验数据进行了说明并更新，但再次被发现更正后的图片依然存在重复现象。例如，某些实验数据的图像在不同比较条件下重复出现，这种重复直接影响了实验结论的可信度。学术界对此提出了强烈质疑，认为论文存在操作不严谨或数据造假的可能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6883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3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83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https://pubpeer.com/publications/E59ECD161F6E9D377844FF292A522C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67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19&amp;idx=1&amp;sn=63c23040289c85be5835219bb7580f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