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学术诚信受挑战：十堰市太和医院文章因图像重复使用被撤回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2025-04-20 10:02:00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77429"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85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2013 年 8 月 1 日，十堰市太和医院的G Wang等人在</w:t>
      </w:r>
      <w:r>
        <w:rPr>
          <w:rStyle w:val="any"/>
          <w:rFonts w:ascii="Microsoft YaHei UI" w:eastAsia="Microsoft YaHei UI" w:hAnsi="Microsoft YaHei UI" w:cs="Microsoft YaHei UI"/>
          <w:b w:val="0"/>
          <w:bCs w:val="0"/>
          <w:i w:val="0"/>
          <w:iCs w:val="0"/>
          <w:color w:val="3E3E3E"/>
          <w:spacing w:val="9"/>
          <w:sz w:val="21"/>
          <w:szCs w:val="21"/>
        </w:rPr>
        <w:t>Cell death &amp; disease</w:t>
      </w:r>
      <w:r>
        <w:rPr>
          <w:rStyle w:val="any"/>
          <w:rFonts w:ascii="Microsoft YaHei UI" w:eastAsia="Microsoft YaHei UI" w:hAnsi="Microsoft YaHei UI" w:cs="Microsoft YaHei UI"/>
          <w:b w:val="0"/>
          <w:bCs w:val="0"/>
          <w:i w:val="0"/>
          <w:iCs w:val="0"/>
          <w:color w:val="3E3E3E"/>
          <w:spacing w:val="9"/>
          <w:sz w:val="21"/>
          <w:szCs w:val="21"/>
        </w:rPr>
        <w:t>杂志在线发表题为“</w:t>
      </w:r>
      <w:r>
        <w:rPr>
          <w:rStyle w:val="any"/>
          <w:rFonts w:ascii="Microsoft YaHei UI" w:eastAsia="Microsoft YaHei UI" w:hAnsi="Microsoft YaHei UI" w:cs="Microsoft YaHei UI"/>
          <w:b w:val="0"/>
          <w:bCs w:val="0"/>
          <w:i w:val="0"/>
          <w:iCs w:val="0"/>
          <w:color w:val="3E3E3E"/>
          <w:spacing w:val="9"/>
          <w:sz w:val="21"/>
          <w:szCs w:val="21"/>
        </w:rPr>
        <w:t>The JAK2/STAT3 and mitochondrial pathways are essential for quercetin nanoliposome-induced C6 glioma cell death</w:t>
      </w:r>
      <w:r>
        <w:rPr>
          <w:rStyle w:val="any"/>
          <w:rFonts w:ascii="Microsoft YaHei UI" w:eastAsia="Microsoft YaHei UI" w:hAnsi="Microsoft YaHei UI" w:cs="Microsoft YaHei UI"/>
          <w:b w:val="0"/>
          <w:bCs w:val="0"/>
          <w:i w:val="0"/>
          <w:iCs w:val="0"/>
          <w:color w:val="3E3E3E"/>
          <w:spacing w:val="9"/>
          <w:sz w:val="21"/>
          <w:szCs w:val="21"/>
        </w:rPr>
        <w:t>”的研究论文，</w:t>
      </w:r>
      <w:r>
        <w:rPr>
          <w:rStyle w:val="any"/>
          <w:rFonts w:ascii="Microsoft YaHei UI" w:eastAsia="Microsoft YaHei UI" w:hAnsi="Microsoft YaHei UI" w:cs="Microsoft YaHei UI"/>
          <w:b w:val="0"/>
          <w:bCs w:val="0"/>
          <w:i w:val="0"/>
          <w:iCs w:val="0"/>
          <w:color w:val="3E3E3E"/>
          <w:spacing w:val="9"/>
          <w:sz w:val="21"/>
          <w:szCs w:val="21"/>
        </w:rPr>
        <w:t>但是，在2025 年 4 月 15 日，该文章被撤回，</w:t>
      </w:r>
      <w:r>
        <w:rPr>
          <w:rStyle w:val="any"/>
          <w:rFonts w:ascii="Microsoft YaHei UI" w:eastAsia="Microsoft YaHei UI" w:hAnsi="Microsoft YaHei UI" w:cs="Microsoft YaHei UI"/>
          <w:b w:val="0"/>
          <w:bCs w:val="0"/>
          <w:i w:val="0"/>
          <w:iCs w:val="0"/>
          <w:color w:val="3E3E3E"/>
          <w:spacing w:val="9"/>
          <w:sz w:val="21"/>
          <w:szCs w:val="21"/>
        </w:rPr>
        <w:t>主要原因是文章内及不同文章间涉嫌图像的重复使用。</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693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02931"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10648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08719" name=""/>
                    <pic:cNvPicPr>
                      <a:picLocks noChangeAspect="1"/>
                    </pic:cNvPicPr>
                  </pic:nvPicPr>
                  <pic:blipFill>
                    <a:blip xmlns:r="http://schemas.openxmlformats.org/officeDocument/2006/relationships" r:embed="rId9"/>
                    <a:stretch>
                      <a:fillRect/>
                    </a:stretch>
                  </pic:blipFill>
                  <pic:spPr>
                    <a:xfrm>
                      <a:off x="0" y="0"/>
                      <a:ext cx="5486400" cy="31064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299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73977" name=""/>
                    <pic:cNvPicPr>
                      <a:picLocks noChangeAspect="1"/>
                    </pic:cNvPicPr>
                  </pic:nvPicPr>
                  <pic:blipFill>
                    <a:blip xmlns:r="http://schemas.openxmlformats.org/officeDocument/2006/relationships" r:embed="rId10"/>
                    <a:stretch>
                      <a:fillRect/>
                    </a:stretch>
                  </pic:blipFill>
                  <pic:spPr>
                    <a:xfrm>
                      <a:off x="0" y="0"/>
                      <a:ext cx="5486400" cy="72999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670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19606" name=""/>
                    <pic:cNvPicPr>
                      <a:picLocks noChangeAspect="1"/>
                    </pic:cNvPicPr>
                  </pic:nvPicPr>
                  <pic:blipFill>
                    <a:blip xmlns:r="http://schemas.openxmlformats.org/officeDocument/2006/relationships" r:embed="rId11"/>
                    <a:stretch>
                      <a:fillRect/>
                    </a:stretch>
                  </pic:blipFill>
                  <pic:spPr>
                    <a:xfrm>
                      <a:off x="0" y="0"/>
                      <a:ext cx="5486400" cy="76708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24202" name=""/>
                    <pic:cNvPicPr>
                      <a:picLocks noChangeAspect="1"/>
                    </pic:cNvPicPr>
                  </pic:nvPicPr>
                  <pic:blipFill>
                    <a:blip xmlns:r="http://schemas.openxmlformats.org/officeDocument/2006/relationships" r:embed="rId12"/>
                    <a:stretch>
                      <a:fillRect/>
                    </a:stretch>
                  </pic:blipFill>
                  <pic:spPr>
                    <a:xfrm>
                      <a:off x="0" y="0"/>
                      <a:ext cx="5486400" cy="8229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090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82928" name=""/>
                    <pic:cNvPicPr>
                      <a:picLocks noChangeAspect="1"/>
                    </pic:cNvPicPr>
                  </pic:nvPicPr>
                  <pic:blipFill>
                    <a:blip xmlns:r="http://schemas.openxmlformats.org/officeDocument/2006/relationships" r:embed="rId13"/>
                    <a:stretch>
                      <a:fillRect/>
                    </a:stretch>
                  </pic:blipFill>
                  <pic:spPr>
                    <a:xfrm>
                      <a:off x="0" y="0"/>
                      <a:ext cx="5486400" cy="609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15 日</w:t>
      </w:r>
      <w:r>
        <w:rPr>
          <w:rStyle w:val="any"/>
          <w:rFonts w:ascii="Microsoft YaHei UI" w:eastAsia="Microsoft YaHei UI" w:hAnsi="Microsoft YaHei UI" w:cs="Microsoft YaHei UI"/>
          <w:b w:val="0"/>
          <w:bCs w:val="0"/>
          <w:i w:val="0"/>
          <w:iCs w:val="0"/>
          <w:color w:val="3E3E3E"/>
          <w:spacing w:val="9"/>
          <w:sz w:val="21"/>
          <w:szCs w:val="21"/>
        </w:rPr>
        <w:t>撤回</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主编们已经撤回了这篇文章。</w:t>
      </w:r>
      <w:r>
        <w:rPr>
          <w:rStyle w:val="any"/>
          <w:rFonts w:ascii="Microsoft YaHei UI" w:eastAsia="Microsoft YaHei UI" w:hAnsi="Microsoft YaHei UI" w:cs="Microsoft YaHei UI"/>
          <w:b w:val="0"/>
          <w:bCs w:val="0"/>
          <w:i w:val="0"/>
          <w:iCs w:val="0"/>
          <w:color w:val="3E3E3E"/>
          <w:spacing w:val="9"/>
          <w:sz w:val="21"/>
          <w:szCs w:val="21"/>
        </w:rPr>
        <w:t>提出了多个图像问题，包括图 1A-C、图 1D 和图 4 内的相似性，以及与同一作者之前发表的一篇论文的相似性 [1]。</w:t>
      </w:r>
      <w:r>
        <w:rPr>
          <w:rStyle w:val="any"/>
          <w:rFonts w:ascii="Microsoft YaHei UI" w:eastAsia="Microsoft YaHei UI" w:hAnsi="Microsoft YaHei UI" w:cs="Microsoft YaHei UI"/>
          <w:b w:val="0"/>
          <w:bCs w:val="0"/>
          <w:i w:val="0"/>
          <w:iCs w:val="0"/>
          <w:color w:val="3E3E3E"/>
          <w:spacing w:val="9"/>
          <w:sz w:val="21"/>
          <w:szCs w:val="21"/>
        </w:rPr>
        <w:t>图1D和1E中的两个面板也被发现包含在几个月前由同一作者发表的一篇论文的图4E中，代表不同的情况[2]。</w:t>
      </w:r>
      <w:r>
        <w:rPr>
          <w:rStyle w:val="any"/>
          <w:rFonts w:ascii="Microsoft YaHei UI" w:eastAsia="Microsoft YaHei UI" w:hAnsi="Microsoft YaHei UI" w:cs="Microsoft YaHei UI"/>
          <w:b w:val="0"/>
          <w:bCs w:val="0"/>
          <w:i w:val="0"/>
          <w:iCs w:val="0"/>
          <w:color w:val="3E3E3E"/>
          <w:spacing w:val="9"/>
          <w:sz w:val="21"/>
          <w:szCs w:val="21"/>
        </w:rPr>
        <w:t>因此，主编们对本文的基础数据失去了信心。</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出版商无法联系到作者X. L. Chen， D. S. Li， Z. J. Pei， H. Lan和L. B. Wu。</w:t>
      </w:r>
      <w:r>
        <w:rPr>
          <w:rStyle w:val="any"/>
          <w:rFonts w:ascii="Microsoft YaHei UI" w:eastAsia="Microsoft YaHei UI" w:hAnsi="Microsoft YaHei UI" w:cs="Microsoft YaHei UI"/>
          <w:b w:val="0"/>
          <w:bCs w:val="0"/>
          <w:i w:val="0"/>
          <w:iCs w:val="0"/>
          <w:color w:val="3E3E3E"/>
          <w:spacing w:val="9"/>
          <w:sz w:val="21"/>
          <w:szCs w:val="21"/>
        </w:rPr>
        <w:t>第一作者对提出的担忧提供了不满意的回应，但没有回复有关此撤回通知的信件。</w:t>
      </w:r>
      <w:r>
        <w:rPr>
          <w:rStyle w:val="any"/>
          <w:rFonts w:ascii="Microsoft YaHei UI" w:eastAsia="Microsoft YaHei UI" w:hAnsi="Microsoft YaHei UI" w:cs="Microsoft YaHei UI"/>
          <w:b w:val="0"/>
          <w:bCs w:val="0"/>
          <w:i w:val="0"/>
          <w:iCs w:val="0"/>
          <w:color w:val="3E3E3E"/>
          <w:spacing w:val="9"/>
          <w:sz w:val="21"/>
          <w:szCs w:val="21"/>
        </w:rPr>
        <w:t>通讯作者尚未回复出版商关于此次撤稿的任何信件。</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引用</w:t>
      </w:r>
    </w:p>
    <w:p>
      <w:pPr>
        <w:pStyle w:val="anyParagraph"/>
        <w:numPr>
          <w:ilvl w:val="0"/>
          <w:numId w:val="1"/>
        </w:numPr>
        <w:shd w:val="clear" w:color="auto" w:fill="FFFFFF"/>
        <w:spacing w:before="0" w:after="0" w:line="360" w:lineRule="atLeast"/>
        <w:ind w:left="300" w:right="300" w:hanging="206"/>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[1] Wang G， Wang JJ， Yang GY， Du SM， Zeng N， Li DS， et al.</w:t>
      </w:r>
      <w:r>
        <w:rPr>
          <w:rStyle w:val="any"/>
          <w:rFonts w:ascii="Microsoft YaHei UI" w:eastAsia="Microsoft YaHei UI" w:hAnsi="Microsoft YaHei UI" w:cs="Microsoft YaHei UI"/>
          <w:b w:val="0"/>
          <w:bCs w:val="0"/>
          <w:i w:val="0"/>
          <w:iCs w:val="0"/>
          <w:color w:val="3E3E3E"/>
          <w:spacing w:val="9"/>
          <w:sz w:val="21"/>
          <w:szCs w:val="21"/>
        </w:rPr>
        <w:t>槲皮素纳米脂质体通过诱导 III 型程序性细胞死亡对 C6 神经胶质瘤细胞的影响。</w:t>
      </w:r>
      <w:r>
        <w:rPr>
          <w:rStyle w:val="any"/>
          <w:rFonts w:ascii="Microsoft YaHei UI" w:eastAsia="Microsoft YaHei UI" w:hAnsi="Microsoft YaHei UI" w:cs="Microsoft YaHei UI"/>
          <w:b w:val="0"/>
          <w:bCs w:val="0"/>
          <w:i w:val="0"/>
          <w:iCs w:val="0"/>
          <w:color w:val="3E3E3E"/>
          <w:spacing w:val="9"/>
          <w:sz w:val="21"/>
          <w:szCs w:val="21"/>
        </w:rPr>
        <w:t>国际纳米医学杂志。</w:t>
      </w:r>
      <w:r>
        <w:rPr>
          <w:rStyle w:val="any"/>
          <w:rFonts w:ascii="Microsoft YaHei UI" w:eastAsia="Microsoft YaHei UI" w:hAnsi="Microsoft YaHei UI" w:cs="Microsoft YaHei UI"/>
          <w:b w:val="0"/>
          <w:bCs w:val="0"/>
          <w:i w:val="0"/>
          <w:iCs w:val="0"/>
          <w:color w:val="3E3E3E"/>
          <w:spacing w:val="9"/>
          <w:sz w:val="21"/>
          <w:szCs w:val="21"/>
        </w:rPr>
        <w:t>2012;</w:t>
      </w:r>
      <w:r>
        <w:rPr>
          <w:rStyle w:val="any"/>
          <w:rFonts w:ascii="Microsoft YaHei UI" w:eastAsia="Microsoft YaHei UI" w:hAnsi="Microsoft YaHei UI" w:cs="Microsoft YaHei UI"/>
          <w:b w:val="0"/>
          <w:bCs w:val="0"/>
          <w:i w:val="0"/>
          <w:iCs w:val="0"/>
          <w:color w:val="3E3E3E"/>
          <w:spacing w:val="9"/>
          <w:sz w:val="21"/>
          <w:szCs w:val="21"/>
        </w:rPr>
        <w:t>7:271–80.</w:t>
      </w:r>
      <w:r>
        <w:rPr>
          <w:rStyle w:val="any"/>
          <w:rFonts w:ascii="Microsoft YaHei UI" w:eastAsia="Microsoft YaHei UI" w:hAnsi="Microsoft YaHei UI" w:cs="Microsoft YaHei UI"/>
          <w:b w:val="0"/>
          <w:bCs w:val="0"/>
          <w:i w:val="0"/>
          <w:iCs w:val="0"/>
          <w:color w:val="3E3E3E"/>
          <w:spacing w:val="9"/>
          <w:sz w:val="21"/>
          <w:szCs w:val="21"/>
        </w:rPr>
        <w:t>https://doi.org/10.2147/IJN.S26935</w:t>
      </w:r>
    </w:p>
    <w:p>
      <w:pPr>
        <w:shd w:val="clear" w:color="auto" w:fill="FFFFFF"/>
        <w:spacing w:before="0" w:after="0" w:line="360" w:lineRule="atLeast"/>
        <w:ind w:left="300" w:right="300"/>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w:t>
      </w:r>
    </w:p>
    <w:p>
      <w:pPr>
        <w:pStyle w:val="anyParagraph"/>
        <w:numPr>
          <w:ilvl w:val="0"/>
          <w:numId w:val="1"/>
        </w:numPr>
        <w:shd w:val="clear" w:color="auto" w:fill="FFFFFF"/>
        <w:spacing w:before="0" w:after="0" w:line="360" w:lineRule="atLeast"/>
        <w:ind w:left="300" w:right="300" w:hanging="206"/>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 Wang G， Wang J， Luo J， Wang L， Chen X， Zhang L， et al. PEG2000-DPSE-c oated quercetin nanoparticles 通过诱导程序性细胞死亡对 C6 神经胶质瘤细胞显着增强抗癌作用。</w:t>
      </w:r>
      <w:r>
        <w:rPr>
          <w:rStyle w:val="any"/>
          <w:rFonts w:ascii="Microsoft YaHei UI" w:eastAsia="Microsoft YaHei UI" w:hAnsi="Microsoft YaHei UI" w:cs="Microsoft YaHei UI"/>
          <w:b w:val="0"/>
          <w:bCs w:val="0"/>
          <w:i w:val="0"/>
          <w:iCs w:val="0"/>
          <w:color w:val="3E3E3E"/>
          <w:spacing w:val="9"/>
          <w:sz w:val="21"/>
          <w:szCs w:val="21"/>
        </w:rPr>
        <w:t>J Biomed Mater Res Part A. 2013 年;</w:t>
      </w:r>
      <w:r>
        <w:rPr>
          <w:rStyle w:val="any"/>
          <w:rFonts w:ascii="Microsoft YaHei UI" w:eastAsia="Microsoft YaHei UI" w:hAnsi="Microsoft YaHei UI" w:cs="Microsoft YaHei UI"/>
          <w:b w:val="0"/>
          <w:bCs w:val="0"/>
          <w:i w:val="0"/>
          <w:iCs w:val="0"/>
          <w:color w:val="3E3E3E"/>
          <w:spacing w:val="9"/>
          <w:sz w:val="21"/>
          <w:szCs w:val="21"/>
        </w:rPr>
        <w:t>101:3076–85.</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https://pubpeer.com/publications/6C338986D0FF7852CD67899DDAC215</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417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42643"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128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43294"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401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058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068&amp;idx=1&amp;sn=e25d5bccb0c460a50bfa1ecac05b72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