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学术诚信双连击：中南大学湘雅医学院附属肿瘤医院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Qianjin Liao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团队两篇论文裸鼠图像复用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08:50:00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49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33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2025年4月9日，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中南大学湘雅医学院附属肿瘤医院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Qianjin Liao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（廖前进）团队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Oncogene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LPLUNC1 stabilises PHB1 by counteracting TRIM21-mediated ubiquitination to inhibit NF-κB activity in nasopharyngeal carcinoma”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913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03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2020年4月28日，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中南大学湘雅医学院附属肿瘤医院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Yujuan Zhou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（周钰娟）、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Qianjin Liao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（廖前进）团队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Frontiers in Oncology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RAC1 Involves in the Radioresistance by Mediating Epithelial-Mesenchymal Transition in Lung Cancer”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965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63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114800"/>
            <wp:docPr id="100005" name="" descr="湖南省肿瘤医院（中南大学湘雅医学院附属肿瘤医院）青年体检体检项目预约_体检套餐多少钱-微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01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论文一的图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和论文二的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使用相同的裸鼠肿瘤图像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论文二的图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6K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存在部分重叠。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论文一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Fig1D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Fig6G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34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66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Fig6K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16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24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https://pmc.ncbi.nlm.nih.gov/articles/PMC7198748/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https://pmc.ncbi.nlm.nih.gov/articles/PMC6756001/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464&amp;idx=1&amp;sn=62e4a015044f4f0fefd367a7c0d735b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