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Fanzhu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教授团队论文图像重复使用引发同行关注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12:46:00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747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316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2024年11月2日，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212121"/>
          <w:spacing w:val="0"/>
          <w:sz w:val="21"/>
          <w:szCs w:val="21"/>
          <w:shd w:val="clear" w:color="auto" w:fill="FFFFFF"/>
        </w:rPr>
        <w:t>浙江中医药大学药学院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z w:val="21"/>
          <w:szCs w:val="21"/>
          <w:shd w:val="clear" w:color="auto" w:fill="FFFFFF"/>
        </w:rPr>
        <w:t>Fanzhu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212121"/>
          <w:spacing w:val="0"/>
          <w:sz w:val="21"/>
          <w:szCs w:val="21"/>
          <w:shd w:val="clear" w:color="auto" w:fill="FFFFFF"/>
        </w:rPr>
        <w:t>（李范珠）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Asian Journal of Pharmaceutical Sciences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Biomimetic nanoparticles co-deliver hirudin and lumbrukinase to ameliorate thrombus and inflammation for atherosclerosis therapy”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349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673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8377"/>
            <wp:docPr id="100004" name="" descr="省级中医资源进驻长清！山东中医药大学附属医院大学城医院揭牌|长清|文化节|中医药_新浪新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68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存在部分重复。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存在重复。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6I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7962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46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7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450" cy="25241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026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448175" cy="38766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097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https://pmc.ncbi.nlm.nih.gov/articles/PMC11795807/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354&amp;idx=1&amp;sn=7a6d768b1fdc1a2d42fa1b9f4954d3c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