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中国医学科学院肿瘤医院副院长团队于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子刊发表论文，图像被质疑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15:08:41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北京大学肿瘤医院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Signal Transduction and Targeted Therapy（IF40.8/1区）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“Dysregulated ceramides metabolism by fatty acid 2-hydroxylase exposes a metabolic vulnerability to target cancer metastasis”。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第一作者：中国医学科学院肿瘤医院的Xuantong Zhou ，中国医学科学院肿瘤医院的Furong Huang, 天津医科大学肿瘤医院的Gang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通讯作者：北京大学肿瘤医院的Nan Wu ，中国医学科学院肿瘤医院的 Zhihua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国家重点研发计划项目（2021YFC2501000, 2020YFA0803300）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国家自然科学基金项目（82030089,82188102）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中国科学院医学科学创新基金项目（2021-1-I2M-018, 2021-I2M-1-067）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中国博士后科学基金项目（2021M700007）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深圳市医学三明项目（No.SZSM201812062）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广东省基础与应用基础研究基金项目（2019B030302012）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资助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6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3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6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9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37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0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54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416493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82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9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6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97&amp;idx=1&amp;sn=3b7780516f554b7b974712795f0226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