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被基金委通报！首都医科大学附属北京友谊医院心内科公绪合</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中国国家自然科学基金监督委员会对涉嫌学术不端行为展开调查。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在所在单位具备研究条件的情况下，将基金项目（批准号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）的研究内容委托给第三方公司，并从事实验数据买卖行为；他使用所买卖的数据发表了以第一作者及通讯作者身份的论文《</w:t>
      </w:r>
      <w:r>
        <w:rPr>
          <w:rStyle w:val="any"/>
          <w:rFonts w:ascii="Times New Roman" w:eastAsia="Times New Roman" w:hAnsi="Times New Roman" w:cs="Times New Roman"/>
          <w:spacing w:val="8"/>
          <w:lang w:val="en-US" w:eastAsia="en-US"/>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）》，并将该数据及论文纳入上述基金项目结题报告中。</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应对上述问题负责。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经国家自然科学基金委员会第六届监督委员会第三次会议审议，并经国家自然科学基金委员会</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年第五次委务会议批准，根据《国家自然科学基金项目科研不端行为调查处理办法》第四十七条、第四十二条第二项、第四十六条的规定，决定撤销</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的国家自然科学基金项目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role and mechanism of umbilical cord blood mesenchymal stem cell exosomes in paracrine regulation of myocardial infarction microenvironment to improve myocardial remodeling</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），追回已拨经费，取消</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申请和参与国家自然科学基金项目资格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年（自</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26</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日），并对</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予以通报批评。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https://onlinelibrary.wiley.com/doi/10.1002/jcp.28070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90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5345" name=""/>
                    <pic:cNvPicPr>
                      <a:picLocks noChangeAspect="1"/>
                    </pic:cNvPicPr>
                  </pic:nvPicPr>
                  <pic:blipFill>
                    <a:blip xmlns:r="http://schemas.openxmlformats.org/officeDocument/2006/relationships" r:embed="rId6"/>
                    <a:stretch>
                      <a:fillRect/>
                    </a:stretch>
                  </pic:blipFill>
                  <pic:spPr>
                    <a:xfrm>
                      <a:off x="0" y="0"/>
                      <a:ext cx="5276850" cy="259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公绪合，首都医科大学附属北京友谊医院，心脏中心，副主任医师，博士。临床擅长冠心病介入治疗，以及高血压、高脂血症、心力衰竭、风湿性心脏病、扩张型心肌病、肥厚型心肌病、限制型心肌病等慢性病的管理。现任中国老年保健协会智慧医养结合委员会委员。主持国家自然科学基金，北京市代谢紊乱相关心血管疾病重点实验室课题等，获得北京市医院管理中心</w:t>
      </w:r>
      <w:r>
        <w:rPr>
          <w:rStyle w:val="any"/>
          <w:rFonts w:ascii="Times New Roman" w:eastAsia="Times New Roman" w:hAnsi="Times New Roman" w:cs="Times New Roman"/>
          <w:spacing w:val="8"/>
        </w:rPr>
        <w:t>“</w:t>
      </w:r>
      <w:r>
        <w:rPr>
          <w:rStyle w:val="any"/>
          <w:rFonts w:ascii="PMingLiU" w:eastAsia="PMingLiU" w:hAnsi="PMingLiU" w:cs="PMingLiU"/>
          <w:spacing w:val="8"/>
        </w:rPr>
        <w:t>青苗</w:t>
      </w:r>
      <w:r>
        <w:rPr>
          <w:rStyle w:val="any"/>
          <w:rFonts w:ascii="Times New Roman" w:eastAsia="Times New Roman" w:hAnsi="Times New Roman" w:cs="Times New Roman"/>
          <w:spacing w:val="8"/>
        </w:rPr>
        <w:t>”</w:t>
      </w:r>
      <w:r>
        <w:rPr>
          <w:rStyle w:val="any"/>
          <w:rFonts w:ascii="PMingLiU" w:eastAsia="PMingLiU" w:hAnsi="PMingLiU" w:cs="PMingLiU"/>
          <w:spacing w:val="8"/>
        </w:rPr>
        <w:t>人才计划，发表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及核心期刊论文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https://pubpeer.com/publications/EC25454E666108540E1889B46F90B5#0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3&amp;sn=0aa402567b0c3bd8cd68b0d2b552d61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