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武汉市普仁医院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湖北省中西医结合医院的论文被撤稿，因流式细胞术图与无关论文图像重复，且作者提供的证据不足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14:48:58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TUG1 relieves renal mesangial cell injury by modulating the miR-153-3p/Bcl-2 axis in lupus nephritis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期刊：Immunity Inflammation and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武汉市普仁医院&amp;湖北省中西医结合医院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发表时间：2023年4月12日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10.1002/iid3.811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图6B中展示的LPS+miR-153-3p抑制剂流式细胞术图在另一篇由不同作者团队撰写、代表不同科学条件的文章中被发现存在重复。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836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97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46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94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2023, doi: 10.1002/iid3.814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）流式细胞术图重复。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5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48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上述文章于2023年4月12日在Wiley在线图书馆（wileyonlinelibrary.com）在线发表，现已由期刊主编Marc Veldhoen与John Wiley &amp; Sons有限公司协商一致后撤回。此次撤回是在对第三方提出的质疑进行调查后达成的。调查发现，图6B中展示的LPS+miR-153-3p抑制剂流式细胞术图在另一篇由不同作者团队撰写、代表不同科学条件的文章中被发现存在重复。作者提供了解释和部分数据，但这被认为不足以说明问题。编辑团队对所呈现的数据失去了信心，并认为结论受到了影响。作者不同意此次撤回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https://onlinelibrary.wiley.com/doi/10.1002/iid3.70193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47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52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9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642&amp;idx=2&amp;sn=031c015bd9d6c34ecd55dc28a7823a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