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上海普陀中心医院</w:t>
        </w:r>
        <w:r>
          <w:rPr>
            <w:rStyle w:val="a"/>
            <w:rFonts w:ascii="Times New Roman" w:eastAsia="Times New Roman" w:hAnsi="Times New Roman" w:cs="Times New Roman"/>
            <w:b w:val="0"/>
            <w:bCs w:val="0"/>
            <w:spacing w:val="8"/>
          </w:rPr>
          <w:t>CMN</w:t>
        </w:r>
        <w:r>
          <w:rPr>
            <w:rStyle w:val="a"/>
            <w:rFonts w:ascii="PMingLiU" w:eastAsia="PMingLiU" w:hAnsi="PMingLiU" w:cs="PMingLiU"/>
            <w:b w:val="0"/>
            <w:bCs w:val="0"/>
            <w:spacing w:val="8"/>
          </w:rPr>
          <w:t>图片被质疑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2025-04-07 20:59:26</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349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807237" name=""/>
                    <pic:cNvPicPr>
                      <a:picLocks noChangeAspect="1"/>
                    </pic:cNvPicPr>
                  </pic:nvPicPr>
                  <pic:blipFill>
                    <a:blip xmlns:r="http://schemas.openxmlformats.org/officeDocument/2006/relationships" r:embed="rId6"/>
                    <a:stretch>
                      <a:fillRect/>
                    </a:stretch>
                  </pic:blipFill>
                  <pic:spPr>
                    <a:xfrm>
                      <a:off x="0" y="0"/>
                      <a:ext cx="5486400" cy="25349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Remote Limb Ischemic Preconditioning Protects Rats Against Cerebral Ischemia via HIF-1α/AMPK/HSP70 Pathway</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b w:val="0"/>
          <w:bCs w:val="0"/>
          <w:color w:val="3E3E3E"/>
          <w:spacing w:val="9"/>
          <w:sz w:val="21"/>
          <w:szCs w:val="21"/>
        </w:rPr>
        <w:t>Cellular and Molecular Neurobiology</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b w:val="0"/>
          <w:bCs w:val="0"/>
          <w:color w:val="9A3030"/>
          <w:spacing w:val="9"/>
          <w:sz w:val="21"/>
          <w:szCs w:val="21"/>
        </w:rPr>
        <w:t>上</w:t>
      </w:r>
      <w:r>
        <w:rPr>
          <w:rStyle w:val="any"/>
          <w:rFonts w:ascii="Microsoft YaHei UI" w:eastAsia="Microsoft YaHei UI" w:hAnsi="Microsoft YaHei UI" w:cs="Microsoft YaHei UI"/>
          <w:b w:val="0"/>
          <w:bCs w:val="0"/>
          <w:color w:val="9A3030"/>
          <w:spacing w:val="9"/>
          <w:sz w:val="21"/>
          <w:szCs w:val="21"/>
        </w:rPr>
        <w:t>海</w:t>
      </w:r>
      <w:r>
        <w:rPr>
          <w:rStyle w:val="any"/>
          <w:rFonts w:ascii="Microsoft YaHei UI" w:eastAsia="Microsoft YaHei UI" w:hAnsi="Microsoft YaHei UI" w:cs="Microsoft YaHei UI"/>
          <w:b w:val="0"/>
          <w:bCs w:val="0"/>
          <w:color w:val="9A3030"/>
          <w:spacing w:val="9"/>
          <w:sz w:val="21"/>
          <w:szCs w:val="21"/>
        </w:rPr>
        <w:t>普陀区中心医院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2016年11月28日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10.1007/s10571-016-0444-2</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widowControl/>
        <w:shd w:val="clear" w:color="auto" w:fill="FFFFFF"/>
        <w:spacing w:line="432" w:lineRule="atLeast"/>
        <w:ind w:left="300" w:right="300" w:firstLine="0"/>
        <w:jc w:val="both"/>
        <w:rPr>
          <w:rStyle w:val="any"/>
          <w:b w:val="0"/>
          <w:bCs w:val="0"/>
          <w:i w:val="0"/>
          <w:iCs w:val="0"/>
          <w:caps w:val="0"/>
          <w:color w:val="222222"/>
          <w:spacing w:val="0"/>
          <w:sz w:val="23"/>
          <w:szCs w:val="23"/>
        </w:rPr>
      </w:pPr>
      <w:r>
        <w:rPr>
          <w:rStyle w:val="any"/>
          <w:b w:val="0"/>
          <w:bCs w:val="0"/>
          <w:i w:val="0"/>
          <w:iCs w:val="0"/>
          <w:caps w:val="0"/>
          <w:color w:val="222222"/>
          <w:spacing w:val="0"/>
          <w:sz w:val="23"/>
          <w:szCs w:val="23"/>
        </w:rPr>
        <w:t>Remote limb ischemic preconditioning (RIPC) is a clinically feasible strategy to protect against ischemia/reperfusion injury, but the knowledge concerning the mechanism underlying RIPC is scarce. This study was performed to examine the effect of RIPC on brain tissue suffering from ischemia challenge and explore its underlying mechanism in a rat model. The animals were divided into four groups: Sham, middle cerebral artery occlusion (MCAO), RIPC, and MCAO+RIPC. We found that previous exposure to RIPC significantly attenuated neurological dysfunction and lessened brain edema in MCAO+RIPC group. Moreover, other important events were observed in MCAO+RIPC group, including substantial decrements in the concentrations of oxidative response indicators [malondialdehyde (MDA), 8-hydroxy-2-deoxyguanosine (8-OHdG), and protein carbonyl], significant reductions in levels of inflammation mediators [myeloperoxidase (MPO), tumor necrosis factor-a (TNF-a), interleukin-1β (IL-1β), and IL-6], and significant decline in neuronal apoptosis revealed by a smaller number of TUNEL-positive cells. Interestingly, both MCAO and RIPC groups exhibited meaningful elevations in the levels of HIF-1a, HSP70, and AMP-activated protein kinase (AMPK) compared to Sham group, and previous exposure to RIPC further elevated the levels of HIF-1a, HSP70, and AMPK in MCAO+RIPC group. Furthermore, the administration of YC-1 (HIF-1 inhibitor), 8-bAMP (AMPK inhibitor), and Quercetin (HSP70 inhibitor) to MCAO+RIPC rats demonstrated that HIF-1α/AMPK/HSP70 was involved in RIPC-mediated protection against cerebral ischemia.</w:t>
      </w:r>
      <w:r>
        <w:rPr>
          <w:rStyle w:val="any"/>
          <w:b w:val="0"/>
          <w:bCs w:val="0"/>
          <w:i w:val="0"/>
          <w:iCs w:val="0"/>
          <w:caps w:val="0"/>
          <w:color w:val="222222"/>
          <w:spacing w:val="0"/>
          <w:sz w:val="23"/>
          <w:szCs w:val="23"/>
        </w:rPr>
        <w:br/>
      </w:r>
      <w:r>
        <w:rPr>
          <w:rStyle w:val="any"/>
          <w:rFonts w:ascii="PMingLiU" w:eastAsia="PMingLiU" w:hAnsi="PMingLiU" w:cs="PMingLiU"/>
          <w:b w:val="0"/>
          <w:bCs w:val="0"/>
          <w:i w:val="0"/>
          <w:iCs w:val="0"/>
          <w:caps w:val="0"/>
          <w:color w:val="222222"/>
          <w:spacing w:val="0"/>
          <w:sz w:val="23"/>
          <w:szCs w:val="23"/>
          <w:lang w:val="zh-CN" w:eastAsia="zh-CN"/>
        </w:rPr>
        <w:t>远程肢体缺血预处理（</w:t>
      </w:r>
      <w:r>
        <w:rPr>
          <w:rStyle w:val="any"/>
          <w:b w:val="0"/>
          <w:bCs w:val="0"/>
          <w:i w:val="0"/>
          <w:iCs w:val="0"/>
          <w:caps w:val="0"/>
          <w:color w:val="222222"/>
          <w:spacing w:val="0"/>
          <w:sz w:val="23"/>
          <w:szCs w:val="23"/>
          <w:lang w:val="zh-CN" w:eastAsia="zh-CN"/>
        </w:rPr>
        <w:t>RIPC</w:t>
      </w:r>
      <w:r>
        <w:rPr>
          <w:rStyle w:val="any"/>
          <w:rFonts w:ascii="PMingLiU" w:eastAsia="PMingLiU" w:hAnsi="PMingLiU" w:cs="PMingLiU"/>
          <w:b w:val="0"/>
          <w:bCs w:val="0"/>
          <w:i w:val="0"/>
          <w:iCs w:val="0"/>
          <w:caps w:val="0"/>
          <w:color w:val="222222"/>
          <w:spacing w:val="0"/>
          <w:sz w:val="23"/>
          <w:szCs w:val="23"/>
          <w:lang w:val="zh-CN" w:eastAsia="zh-CN"/>
        </w:rPr>
        <w:t>）是一种临床可行的保护缺血</w:t>
      </w:r>
      <w:r>
        <w:rPr>
          <w:rStyle w:val="any"/>
          <w:b w:val="0"/>
          <w:bCs w:val="0"/>
          <w:i w:val="0"/>
          <w:iCs w:val="0"/>
          <w:caps w:val="0"/>
          <w:color w:val="222222"/>
          <w:spacing w:val="0"/>
          <w:sz w:val="23"/>
          <w:szCs w:val="23"/>
          <w:lang w:val="zh-CN" w:eastAsia="zh-CN"/>
        </w:rPr>
        <w:t>/</w:t>
      </w:r>
      <w:r>
        <w:rPr>
          <w:rStyle w:val="any"/>
          <w:rFonts w:ascii="PMingLiU" w:eastAsia="PMingLiU" w:hAnsi="PMingLiU" w:cs="PMingLiU"/>
          <w:b w:val="0"/>
          <w:bCs w:val="0"/>
          <w:i w:val="0"/>
          <w:iCs w:val="0"/>
          <w:caps w:val="0"/>
          <w:color w:val="222222"/>
          <w:spacing w:val="0"/>
          <w:sz w:val="23"/>
          <w:szCs w:val="23"/>
          <w:lang w:val="zh-CN" w:eastAsia="zh-CN"/>
        </w:rPr>
        <w:t>再灌注损伤的策略，但关于</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潜在机制的认知却很少。本研究旨在检查</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对缺血挑战下脑组织的影响，并探讨其在大鼠模型中的潜在机制。动物被分为四组：假手术组、大脑中动脉闭塞（</w:t>
      </w:r>
      <w:r>
        <w:rPr>
          <w:rStyle w:val="any"/>
          <w:b w:val="0"/>
          <w:bCs w:val="0"/>
          <w:i w:val="0"/>
          <w:iCs w:val="0"/>
          <w:caps w:val="0"/>
          <w:color w:val="222222"/>
          <w:spacing w:val="0"/>
          <w:sz w:val="23"/>
          <w:szCs w:val="23"/>
          <w:lang w:val="zh-CN" w:eastAsia="zh-CN"/>
        </w:rPr>
        <w:t>MCAO</w:t>
      </w:r>
      <w:r>
        <w:rPr>
          <w:rStyle w:val="any"/>
          <w:rFonts w:ascii="PMingLiU" w:eastAsia="PMingLiU" w:hAnsi="PMingLiU" w:cs="PMingLiU"/>
          <w:b w:val="0"/>
          <w:bCs w:val="0"/>
          <w:i w:val="0"/>
          <w:iCs w:val="0"/>
          <w:caps w:val="0"/>
          <w:color w:val="222222"/>
          <w:spacing w:val="0"/>
          <w:sz w:val="23"/>
          <w:szCs w:val="23"/>
          <w:lang w:val="zh-CN" w:eastAsia="zh-CN"/>
        </w:rPr>
        <w:t>）组、</w:t>
      </w:r>
      <w:r>
        <w:rPr>
          <w:rStyle w:val="any"/>
          <w:b w:val="0"/>
          <w:bCs w:val="0"/>
          <w:i w:val="0"/>
          <w:iCs w:val="0"/>
          <w:caps w:val="0"/>
          <w:color w:val="222222"/>
          <w:spacing w:val="0"/>
          <w:sz w:val="23"/>
          <w:szCs w:val="23"/>
          <w:lang w:val="zh-CN" w:eastAsia="zh-CN"/>
        </w:rPr>
        <w:t xml:space="preserve">RIPC </w:t>
      </w:r>
      <w:r>
        <w:rPr>
          <w:rStyle w:val="any"/>
          <w:rFonts w:ascii="PMingLiU" w:eastAsia="PMingLiU" w:hAnsi="PMingLiU" w:cs="PMingLiU"/>
          <w:b w:val="0"/>
          <w:bCs w:val="0"/>
          <w:i w:val="0"/>
          <w:iCs w:val="0"/>
          <w:caps w:val="0"/>
          <w:color w:val="222222"/>
          <w:spacing w:val="0"/>
          <w:sz w:val="23"/>
          <w:szCs w:val="23"/>
          <w:lang w:val="zh-CN" w:eastAsia="zh-CN"/>
        </w:rPr>
        <w:t>组和</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组。我们发现，先前接受</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暴露显著减轻了</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组的神经功能障碍和脑水肿。此外，在</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组还观察到其他重要事件，包括氧化应激指标（丙二醛（</w:t>
      </w:r>
      <w:r>
        <w:rPr>
          <w:rStyle w:val="any"/>
          <w:b w:val="0"/>
          <w:bCs w:val="0"/>
          <w:i w:val="0"/>
          <w:iCs w:val="0"/>
          <w:caps w:val="0"/>
          <w:color w:val="222222"/>
          <w:spacing w:val="0"/>
          <w:sz w:val="23"/>
          <w:szCs w:val="23"/>
          <w:lang w:val="zh-CN" w:eastAsia="zh-CN"/>
        </w:rPr>
        <w:t>MDA</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8-</w:t>
      </w:r>
      <w:r>
        <w:rPr>
          <w:rStyle w:val="any"/>
          <w:rFonts w:ascii="PMingLiU" w:eastAsia="PMingLiU" w:hAnsi="PMingLiU" w:cs="PMingLiU"/>
          <w:b w:val="0"/>
          <w:bCs w:val="0"/>
          <w:i w:val="0"/>
          <w:iCs w:val="0"/>
          <w:caps w:val="0"/>
          <w:color w:val="222222"/>
          <w:spacing w:val="0"/>
          <w:sz w:val="23"/>
          <w:szCs w:val="23"/>
          <w:lang w:val="zh-CN" w:eastAsia="zh-CN"/>
        </w:rPr>
        <w:t>羟基</w:t>
      </w:r>
      <w:r>
        <w:rPr>
          <w:rStyle w:val="any"/>
          <w:b w:val="0"/>
          <w:bCs w:val="0"/>
          <w:i w:val="0"/>
          <w:iCs w:val="0"/>
          <w:caps w:val="0"/>
          <w:color w:val="222222"/>
          <w:spacing w:val="0"/>
          <w:sz w:val="23"/>
          <w:szCs w:val="23"/>
          <w:lang w:val="zh-CN" w:eastAsia="zh-CN"/>
        </w:rPr>
        <w:t>-2-</w:t>
      </w:r>
      <w:r>
        <w:rPr>
          <w:rStyle w:val="any"/>
          <w:rFonts w:ascii="PMingLiU" w:eastAsia="PMingLiU" w:hAnsi="PMingLiU" w:cs="PMingLiU"/>
          <w:b w:val="0"/>
          <w:bCs w:val="0"/>
          <w:i w:val="0"/>
          <w:iCs w:val="0"/>
          <w:caps w:val="0"/>
          <w:color w:val="222222"/>
          <w:spacing w:val="0"/>
          <w:sz w:val="23"/>
          <w:szCs w:val="23"/>
          <w:lang w:val="zh-CN" w:eastAsia="zh-CN"/>
        </w:rPr>
        <w:t>脱氧鸟苷（</w:t>
      </w:r>
      <w:r>
        <w:rPr>
          <w:rStyle w:val="any"/>
          <w:b w:val="0"/>
          <w:bCs w:val="0"/>
          <w:i w:val="0"/>
          <w:iCs w:val="0"/>
          <w:caps w:val="0"/>
          <w:color w:val="222222"/>
          <w:spacing w:val="0"/>
          <w:sz w:val="23"/>
          <w:szCs w:val="23"/>
          <w:lang w:val="zh-CN" w:eastAsia="zh-CN"/>
        </w:rPr>
        <w:t>8-OHdG</w:t>
      </w:r>
      <w:r>
        <w:rPr>
          <w:rStyle w:val="any"/>
          <w:rFonts w:ascii="PMingLiU" w:eastAsia="PMingLiU" w:hAnsi="PMingLiU" w:cs="PMingLiU"/>
          <w:b w:val="0"/>
          <w:bCs w:val="0"/>
          <w:i w:val="0"/>
          <w:iCs w:val="0"/>
          <w:caps w:val="0"/>
          <w:color w:val="222222"/>
          <w:spacing w:val="0"/>
          <w:sz w:val="23"/>
          <w:szCs w:val="23"/>
          <w:lang w:val="zh-CN" w:eastAsia="zh-CN"/>
        </w:rPr>
        <w:t>）和蛋白羰基）浓度显著降低，炎症介质（髓过氧化物酶（</w:t>
      </w:r>
      <w:r>
        <w:rPr>
          <w:rStyle w:val="any"/>
          <w:b w:val="0"/>
          <w:bCs w:val="0"/>
          <w:i w:val="0"/>
          <w:iCs w:val="0"/>
          <w:caps w:val="0"/>
          <w:color w:val="222222"/>
          <w:spacing w:val="0"/>
          <w:sz w:val="23"/>
          <w:szCs w:val="23"/>
          <w:lang w:val="zh-CN" w:eastAsia="zh-CN"/>
        </w:rPr>
        <w:t>MPO</w:t>
      </w:r>
      <w:r>
        <w:rPr>
          <w:rStyle w:val="any"/>
          <w:rFonts w:ascii="PMingLiU" w:eastAsia="PMingLiU" w:hAnsi="PMingLiU" w:cs="PMingLiU"/>
          <w:b w:val="0"/>
          <w:bCs w:val="0"/>
          <w:i w:val="0"/>
          <w:iCs w:val="0"/>
          <w:caps w:val="0"/>
          <w:color w:val="222222"/>
          <w:spacing w:val="0"/>
          <w:sz w:val="23"/>
          <w:szCs w:val="23"/>
          <w:lang w:val="zh-CN" w:eastAsia="zh-CN"/>
        </w:rPr>
        <w:t>）、肿瘤坏死因子</w:t>
      </w:r>
      <w:r>
        <w:rPr>
          <w:rStyle w:val="any"/>
          <w:b w:val="0"/>
          <w:bCs w:val="0"/>
          <w:i w:val="0"/>
          <w:iCs w:val="0"/>
          <w:caps w:val="0"/>
          <w:color w:val="222222"/>
          <w:spacing w:val="0"/>
          <w:sz w:val="23"/>
          <w:szCs w:val="23"/>
          <w:lang w:val="zh-CN" w:eastAsia="zh-CN"/>
        </w:rPr>
        <w:t>-α</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TNF-α</w:t>
      </w:r>
      <w:r>
        <w:rPr>
          <w:rStyle w:val="any"/>
          <w:rFonts w:ascii="PMingLiU" w:eastAsia="PMingLiU" w:hAnsi="PMingLiU" w:cs="PMingLiU"/>
          <w:b w:val="0"/>
          <w:bCs w:val="0"/>
          <w:i w:val="0"/>
          <w:iCs w:val="0"/>
          <w:caps w:val="0"/>
          <w:color w:val="222222"/>
          <w:spacing w:val="0"/>
          <w:sz w:val="23"/>
          <w:szCs w:val="23"/>
          <w:lang w:val="zh-CN" w:eastAsia="zh-CN"/>
        </w:rPr>
        <w:t>）、白细胞介素</w:t>
      </w:r>
      <w:r>
        <w:rPr>
          <w:rStyle w:val="any"/>
          <w:b w:val="0"/>
          <w:bCs w:val="0"/>
          <w:i w:val="0"/>
          <w:iCs w:val="0"/>
          <w:caps w:val="0"/>
          <w:color w:val="222222"/>
          <w:spacing w:val="0"/>
          <w:sz w:val="23"/>
          <w:szCs w:val="23"/>
          <w:lang w:val="zh-CN" w:eastAsia="zh-CN"/>
        </w:rPr>
        <w:t>-1β</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IL-1β</w:t>
      </w:r>
      <w:r>
        <w:rPr>
          <w:rStyle w:val="any"/>
          <w:rFonts w:ascii="PMingLiU" w:eastAsia="PMingLiU" w:hAnsi="PMingLiU" w:cs="PMingLiU"/>
          <w:b w:val="0"/>
          <w:bCs w:val="0"/>
          <w:i w:val="0"/>
          <w:iCs w:val="0"/>
          <w:caps w:val="0"/>
          <w:color w:val="222222"/>
          <w:spacing w:val="0"/>
          <w:sz w:val="23"/>
          <w:szCs w:val="23"/>
          <w:lang w:val="zh-CN" w:eastAsia="zh-CN"/>
        </w:rPr>
        <w:t>）和</w:t>
      </w:r>
      <w:r>
        <w:rPr>
          <w:rStyle w:val="any"/>
          <w:b w:val="0"/>
          <w:bCs w:val="0"/>
          <w:i w:val="0"/>
          <w:iCs w:val="0"/>
          <w:caps w:val="0"/>
          <w:color w:val="222222"/>
          <w:spacing w:val="0"/>
          <w:sz w:val="23"/>
          <w:szCs w:val="23"/>
          <w:lang w:val="zh-CN" w:eastAsia="zh-CN"/>
        </w:rPr>
        <w:t xml:space="preserve"> IL-6</w:t>
      </w:r>
      <w:r>
        <w:rPr>
          <w:rStyle w:val="any"/>
          <w:rFonts w:ascii="PMingLiU" w:eastAsia="PMingLiU" w:hAnsi="PMingLiU" w:cs="PMingLiU"/>
          <w:b w:val="0"/>
          <w:bCs w:val="0"/>
          <w:i w:val="0"/>
          <w:iCs w:val="0"/>
          <w:caps w:val="0"/>
          <w:color w:val="222222"/>
          <w:spacing w:val="0"/>
          <w:sz w:val="23"/>
          <w:szCs w:val="23"/>
          <w:lang w:val="zh-CN" w:eastAsia="zh-CN"/>
        </w:rPr>
        <w:t>）水平显著下降，以及神经元凋亡显著减少，表现为</w:t>
      </w:r>
      <w:r>
        <w:rPr>
          <w:rStyle w:val="any"/>
          <w:b w:val="0"/>
          <w:bCs w:val="0"/>
          <w:i w:val="0"/>
          <w:iCs w:val="0"/>
          <w:caps w:val="0"/>
          <w:color w:val="222222"/>
          <w:spacing w:val="0"/>
          <w:sz w:val="23"/>
          <w:szCs w:val="23"/>
          <w:lang w:val="zh-CN" w:eastAsia="zh-CN"/>
        </w:rPr>
        <w:t xml:space="preserve"> TUNEL </w:t>
      </w:r>
      <w:r>
        <w:rPr>
          <w:rStyle w:val="any"/>
          <w:rFonts w:ascii="PMingLiU" w:eastAsia="PMingLiU" w:hAnsi="PMingLiU" w:cs="PMingLiU"/>
          <w:b w:val="0"/>
          <w:bCs w:val="0"/>
          <w:i w:val="0"/>
          <w:iCs w:val="0"/>
          <w:caps w:val="0"/>
          <w:color w:val="222222"/>
          <w:spacing w:val="0"/>
          <w:sz w:val="23"/>
          <w:szCs w:val="23"/>
          <w:lang w:val="zh-CN" w:eastAsia="zh-CN"/>
        </w:rPr>
        <w:t>阳性细胞数量减少。</w:t>
      </w:r>
      <w:r>
        <w:rPr>
          <w:rStyle w:val="any"/>
          <w:b w:val="0"/>
          <w:bCs w:val="0"/>
          <w:i w:val="0"/>
          <w:iCs w:val="0"/>
          <w:caps w:val="0"/>
          <w:color w:val="222222"/>
          <w:spacing w:val="0"/>
          <w:sz w:val="23"/>
          <w:szCs w:val="23"/>
          <w:lang w:val="zh-CN" w:eastAsia="zh-CN"/>
        </w:rPr>
        <w:t xml:space="preserve"> </w:t>
      </w:r>
      <w:r>
        <w:rPr>
          <w:rStyle w:val="any"/>
          <w:rFonts w:ascii="PMingLiU" w:eastAsia="PMingLiU" w:hAnsi="PMingLiU" w:cs="PMingLiU"/>
          <w:b w:val="0"/>
          <w:bCs w:val="0"/>
          <w:i w:val="0"/>
          <w:iCs w:val="0"/>
          <w:caps w:val="0"/>
          <w:color w:val="222222"/>
          <w:spacing w:val="0"/>
          <w:sz w:val="23"/>
          <w:szCs w:val="23"/>
          <w:lang w:val="zh-CN" w:eastAsia="zh-CN"/>
        </w:rPr>
        <w:t>有趣的是，与假手术组相比，</w:t>
      </w:r>
      <w:r>
        <w:rPr>
          <w:rStyle w:val="any"/>
          <w:b w:val="0"/>
          <w:bCs w:val="0"/>
          <w:i w:val="0"/>
          <w:iCs w:val="0"/>
          <w:caps w:val="0"/>
          <w:color w:val="222222"/>
          <w:spacing w:val="0"/>
          <w:sz w:val="23"/>
          <w:szCs w:val="23"/>
          <w:lang w:val="zh-CN" w:eastAsia="zh-CN"/>
        </w:rPr>
        <w:t xml:space="preserve">MCAO </w:t>
      </w:r>
      <w:r>
        <w:rPr>
          <w:rStyle w:val="any"/>
          <w:rFonts w:ascii="PMingLiU" w:eastAsia="PMingLiU" w:hAnsi="PMingLiU" w:cs="PMingLiU"/>
          <w:b w:val="0"/>
          <w:bCs w:val="0"/>
          <w:i w:val="0"/>
          <w:iCs w:val="0"/>
          <w:caps w:val="0"/>
          <w:color w:val="222222"/>
          <w:spacing w:val="0"/>
          <w:sz w:val="23"/>
          <w:szCs w:val="23"/>
          <w:lang w:val="zh-CN" w:eastAsia="zh-CN"/>
        </w:rPr>
        <w:t>组和</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组</w:t>
      </w:r>
      <w:r>
        <w:rPr>
          <w:rStyle w:val="any"/>
          <w:b w:val="0"/>
          <w:bCs w:val="0"/>
          <w:i w:val="0"/>
          <w:iCs w:val="0"/>
          <w:caps w:val="0"/>
          <w:color w:val="222222"/>
          <w:spacing w:val="0"/>
          <w:sz w:val="23"/>
          <w:szCs w:val="23"/>
          <w:lang w:val="zh-CN" w:eastAsia="zh-CN"/>
        </w:rPr>
        <w:t xml:space="preserve"> HIF-1α</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 xml:space="preserve">HSP70 </w:t>
      </w:r>
      <w:r>
        <w:rPr>
          <w:rStyle w:val="any"/>
          <w:rFonts w:ascii="PMingLiU" w:eastAsia="PMingLiU" w:hAnsi="PMingLiU" w:cs="PMingLiU"/>
          <w:b w:val="0"/>
          <w:bCs w:val="0"/>
          <w:i w:val="0"/>
          <w:iCs w:val="0"/>
          <w:caps w:val="0"/>
          <w:color w:val="222222"/>
          <w:spacing w:val="0"/>
          <w:sz w:val="23"/>
          <w:szCs w:val="23"/>
          <w:lang w:val="zh-CN" w:eastAsia="zh-CN"/>
        </w:rPr>
        <w:t>和</w:t>
      </w:r>
      <w:r>
        <w:rPr>
          <w:rStyle w:val="any"/>
          <w:b w:val="0"/>
          <w:bCs w:val="0"/>
          <w:i w:val="0"/>
          <w:iCs w:val="0"/>
          <w:caps w:val="0"/>
          <w:color w:val="222222"/>
          <w:spacing w:val="0"/>
          <w:sz w:val="23"/>
          <w:szCs w:val="23"/>
          <w:lang w:val="zh-CN" w:eastAsia="zh-CN"/>
        </w:rPr>
        <w:t xml:space="preserve"> AMP </w:t>
      </w:r>
      <w:r>
        <w:rPr>
          <w:rStyle w:val="any"/>
          <w:rFonts w:ascii="PMingLiU" w:eastAsia="PMingLiU" w:hAnsi="PMingLiU" w:cs="PMingLiU"/>
          <w:b w:val="0"/>
          <w:bCs w:val="0"/>
          <w:i w:val="0"/>
          <w:iCs w:val="0"/>
          <w:caps w:val="0"/>
          <w:color w:val="222222"/>
          <w:spacing w:val="0"/>
          <w:sz w:val="23"/>
          <w:szCs w:val="23"/>
          <w:lang w:val="zh-CN" w:eastAsia="zh-CN"/>
        </w:rPr>
        <w:t>激活蛋白激酶（</w:t>
      </w:r>
      <w:r>
        <w:rPr>
          <w:rStyle w:val="any"/>
          <w:b w:val="0"/>
          <w:bCs w:val="0"/>
          <w:i w:val="0"/>
          <w:iCs w:val="0"/>
          <w:caps w:val="0"/>
          <w:color w:val="222222"/>
          <w:spacing w:val="0"/>
          <w:sz w:val="23"/>
          <w:szCs w:val="23"/>
          <w:lang w:val="zh-CN" w:eastAsia="zh-CN"/>
        </w:rPr>
        <w:t>AMPK</w:t>
      </w:r>
      <w:r>
        <w:rPr>
          <w:rStyle w:val="any"/>
          <w:rFonts w:ascii="PMingLiU" w:eastAsia="PMingLiU" w:hAnsi="PMingLiU" w:cs="PMingLiU"/>
          <w:b w:val="0"/>
          <w:bCs w:val="0"/>
          <w:i w:val="0"/>
          <w:iCs w:val="0"/>
          <w:caps w:val="0"/>
          <w:color w:val="222222"/>
          <w:spacing w:val="0"/>
          <w:sz w:val="23"/>
          <w:szCs w:val="23"/>
          <w:lang w:val="zh-CN" w:eastAsia="zh-CN"/>
        </w:rPr>
        <w:t>）的水平均有显著升高，且先前对</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的暴露进一步提高了</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组中</w:t>
      </w:r>
      <w:r>
        <w:rPr>
          <w:rStyle w:val="any"/>
          <w:b w:val="0"/>
          <w:bCs w:val="0"/>
          <w:i w:val="0"/>
          <w:iCs w:val="0"/>
          <w:caps w:val="0"/>
          <w:color w:val="222222"/>
          <w:spacing w:val="0"/>
          <w:sz w:val="23"/>
          <w:szCs w:val="23"/>
          <w:lang w:val="zh-CN" w:eastAsia="zh-CN"/>
        </w:rPr>
        <w:t xml:space="preserve"> HIF-1α</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 xml:space="preserve">HSP70 </w:t>
      </w:r>
      <w:r>
        <w:rPr>
          <w:rStyle w:val="any"/>
          <w:rFonts w:ascii="PMingLiU" w:eastAsia="PMingLiU" w:hAnsi="PMingLiU" w:cs="PMingLiU"/>
          <w:b w:val="0"/>
          <w:bCs w:val="0"/>
          <w:i w:val="0"/>
          <w:iCs w:val="0"/>
          <w:caps w:val="0"/>
          <w:color w:val="222222"/>
          <w:spacing w:val="0"/>
          <w:sz w:val="23"/>
          <w:szCs w:val="23"/>
          <w:lang w:val="zh-CN" w:eastAsia="zh-CN"/>
        </w:rPr>
        <w:t>和</w:t>
      </w:r>
      <w:r>
        <w:rPr>
          <w:rStyle w:val="any"/>
          <w:b w:val="0"/>
          <w:bCs w:val="0"/>
          <w:i w:val="0"/>
          <w:iCs w:val="0"/>
          <w:caps w:val="0"/>
          <w:color w:val="222222"/>
          <w:spacing w:val="0"/>
          <w:sz w:val="23"/>
          <w:szCs w:val="23"/>
          <w:lang w:val="zh-CN" w:eastAsia="zh-CN"/>
        </w:rPr>
        <w:t xml:space="preserve"> AMPK </w:t>
      </w:r>
      <w:r>
        <w:rPr>
          <w:rStyle w:val="any"/>
          <w:rFonts w:ascii="PMingLiU" w:eastAsia="PMingLiU" w:hAnsi="PMingLiU" w:cs="PMingLiU"/>
          <w:b w:val="0"/>
          <w:bCs w:val="0"/>
          <w:i w:val="0"/>
          <w:iCs w:val="0"/>
          <w:caps w:val="0"/>
          <w:color w:val="222222"/>
          <w:spacing w:val="0"/>
          <w:sz w:val="23"/>
          <w:szCs w:val="23"/>
          <w:lang w:val="zh-CN" w:eastAsia="zh-CN"/>
        </w:rPr>
        <w:t>的水平。此外，对</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大鼠给予</w:t>
      </w:r>
      <w:r>
        <w:rPr>
          <w:rStyle w:val="any"/>
          <w:b w:val="0"/>
          <w:bCs w:val="0"/>
          <w:i w:val="0"/>
          <w:iCs w:val="0"/>
          <w:caps w:val="0"/>
          <w:color w:val="222222"/>
          <w:spacing w:val="0"/>
          <w:sz w:val="23"/>
          <w:szCs w:val="23"/>
          <w:lang w:val="zh-CN" w:eastAsia="zh-CN"/>
        </w:rPr>
        <w:t xml:space="preserve"> YC-1</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 xml:space="preserve">HIF-1 </w:t>
      </w:r>
      <w:r>
        <w:rPr>
          <w:rStyle w:val="any"/>
          <w:rFonts w:ascii="PMingLiU" w:eastAsia="PMingLiU" w:hAnsi="PMingLiU" w:cs="PMingLiU"/>
          <w:b w:val="0"/>
          <w:bCs w:val="0"/>
          <w:i w:val="0"/>
          <w:iCs w:val="0"/>
          <w:caps w:val="0"/>
          <w:color w:val="222222"/>
          <w:spacing w:val="0"/>
          <w:sz w:val="23"/>
          <w:szCs w:val="23"/>
          <w:lang w:val="zh-CN" w:eastAsia="zh-CN"/>
        </w:rPr>
        <w:t>抑制剂）、</w:t>
      </w:r>
      <w:r>
        <w:rPr>
          <w:rStyle w:val="any"/>
          <w:b w:val="0"/>
          <w:bCs w:val="0"/>
          <w:i w:val="0"/>
          <w:iCs w:val="0"/>
          <w:caps w:val="0"/>
          <w:color w:val="222222"/>
          <w:spacing w:val="0"/>
          <w:sz w:val="23"/>
          <w:szCs w:val="23"/>
          <w:lang w:val="zh-CN" w:eastAsia="zh-CN"/>
        </w:rPr>
        <w:t>8-bAMP</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 xml:space="preserve">AMPK </w:t>
      </w:r>
      <w:r>
        <w:rPr>
          <w:rStyle w:val="any"/>
          <w:rFonts w:ascii="PMingLiU" w:eastAsia="PMingLiU" w:hAnsi="PMingLiU" w:cs="PMingLiU"/>
          <w:b w:val="0"/>
          <w:bCs w:val="0"/>
          <w:i w:val="0"/>
          <w:iCs w:val="0"/>
          <w:caps w:val="0"/>
          <w:color w:val="222222"/>
          <w:spacing w:val="0"/>
          <w:sz w:val="23"/>
          <w:szCs w:val="23"/>
          <w:lang w:val="zh-CN" w:eastAsia="zh-CN"/>
        </w:rPr>
        <w:t>抑制剂）和槲皮素（</w:t>
      </w:r>
      <w:r>
        <w:rPr>
          <w:rStyle w:val="any"/>
          <w:b w:val="0"/>
          <w:bCs w:val="0"/>
          <w:i w:val="0"/>
          <w:iCs w:val="0"/>
          <w:caps w:val="0"/>
          <w:color w:val="222222"/>
          <w:spacing w:val="0"/>
          <w:sz w:val="23"/>
          <w:szCs w:val="23"/>
          <w:lang w:val="zh-CN" w:eastAsia="zh-CN"/>
        </w:rPr>
        <w:t xml:space="preserve">HSP70 </w:t>
      </w:r>
      <w:r>
        <w:rPr>
          <w:rStyle w:val="any"/>
          <w:rFonts w:ascii="PMingLiU" w:eastAsia="PMingLiU" w:hAnsi="PMingLiU" w:cs="PMingLiU"/>
          <w:b w:val="0"/>
          <w:bCs w:val="0"/>
          <w:i w:val="0"/>
          <w:iCs w:val="0"/>
          <w:caps w:val="0"/>
          <w:color w:val="222222"/>
          <w:spacing w:val="0"/>
          <w:sz w:val="23"/>
          <w:szCs w:val="23"/>
          <w:lang w:val="zh-CN" w:eastAsia="zh-CN"/>
        </w:rPr>
        <w:t>抑制剂）的处理表明，</w:t>
      </w:r>
      <w:r>
        <w:rPr>
          <w:rStyle w:val="any"/>
          <w:b w:val="0"/>
          <w:bCs w:val="0"/>
          <w:i w:val="0"/>
          <w:iCs w:val="0"/>
          <w:caps w:val="0"/>
          <w:color w:val="222222"/>
          <w:spacing w:val="0"/>
          <w:sz w:val="23"/>
          <w:szCs w:val="23"/>
          <w:lang w:val="zh-CN" w:eastAsia="zh-CN"/>
        </w:rPr>
        <w:t xml:space="preserve">HIF-1α/AMPK/HSP70 </w:t>
      </w:r>
      <w:r>
        <w:rPr>
          <w:rStyle w:val="any"/>
          <w:rFonts w:ascii="PMingLiU" w:eastAsia="PMingLiU" w:hAnsi="PMingLiU" w:cs="PMingLiU"/>
          <w:b w:val="0"/>
          <w:bCs w:val="0"/>
          <w:i w:val="0"/>
          <w:iCs w:val="0"/>
          <w:caps w:val="0"/>
          <w:color w:val="222222"/>
          <w:spacing w:val="0"/>
          <w:sz w:val="23"/>
          <w:szCs w:val="23"/>
          <w:lang w:val="zh-CN" w:eastAsia="zh-CN"/>
        </w:rPr>
        <w:t>参与了</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介导的脑缺血保护作用。</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6"/>
          <w:szCs w:val="36"/>
          <w:lang w:val="zh-CN" w:eastAsia="zh-CN"/>
        </w:rPr>
        <w:t>02</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0"/>
          <w:szCs w:val="30"/>
          <w:lang w:val="zh-CN" w:eastAsia="zh-CN"/>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#1 </w:t>
      </w:r>
      <w:r>
        <w:rPr>
          <w:rStyle w:val="any"/>
          <w:rFonts w:ascii="Segoe UI" w:eastAsia="Segoe UI" w:hAnsi="Segoe UI" w:cs="Segoe UI"/>
          <w:b/>
          <w:bCs/>
          <w:i w:val="0"/>
          <w:iCs w:val="0"/>
          <w:caps w:val="0"/>
          <w:color w:val="212121"/>
          <w:spacing w:val="0"/>
          <w:lang w:val="zh-CN" w:eastAsia="zh-CN"/>
        </w:rPr>
        <w:t>René Aquarius </w:t>
      </w:r>
      <w:r>
        <w:rPr>
          <w:rStyle w:val="any"/>
          <w:rFonts w:ascii="Segoe UI" w:eastAsia="Segoe UI" w:hAnsi="Segoe UI" w:cs="Segoe UI"/>
          <w:b w:val="0"/>
          <w:bCs w:val="0"/>
          <w:i w:val="0"/>
          <w:iCs w:val="0"/>
          <w:caps w:val="0"/>
          <w:color w:val="212121"/>
          <w:spacing w:val="0"/>
          <w:lang w:val="zh-CN" w:eastAsia="zh-CN"/>
        </w:rPr>
        <w:t>comment accepted April 2025</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评论通过，</w:t>
      </w:r>
      <w:r>
        <w:rPr>
          <w:rStyle w:val="any"/>
          <w:rFonts w:ascii="Segoe UI" w:eastAsia="Segoe UI" w:hAnsi="Segoe UI" w:cs="Segoe UI"/>
          <w:b w:val="0"/>
          <w:bCs w:val="0"/>
          <w:i w:val="0"/>
          <w:iCs w:val="0"/>
          <w:caps w:val="0"/>
          <w:color w:val="212121"/>
          <w:spacing w:val="0"/>
          <w:lang w:val="zh-CN" w:eastAsia="zh-CN"/>
        </w:rPr>
        <w:t xml:space="preserve">2025 </w:t>
      </w:r>
      <w:r>
        <w:rPr>
          <w:rStyle w:val="any"/>
          <w:rFonts w:ascii="PMingLiU" w:eastAsia="PMingLiU" w:hAnsi="PMingLiU" w:cs="PMingLiU"/>
          <w:b w:val="0"/>
          <w:bCs w:val="0"/>
          <w:i w:val="0"/>
          <w:iCs w:val="0"/>
          <w:caps w:val="0"/>
          <w:color w:val="212121"/>
          <w:spacing w:val="0"/>
          <w:lang w:val="zh-CN" w:eastAsia="zh-CN"/>
        </w:rPr>
        <w:t>年</w:t>
      </w:r>
      <w:r>
        <w:rPr>
          <w:rStyle w:val="any"/>
          <w:rFonts w:ascii="Segoe UI" w:eastAsia="Segoe UI" w:hAnsi="Segoe UI" w:cs="Segoe UI"/>
          <w:b w:val="0"/>
          <w:bCs w:val="0"/>
          <w:i w:val="0"/>
          <w:iCs w:val="0"/>
          <w:caps w:val="0"/>
          <w:color w:val="212121"/>
          <w:spacing w:val="0"/>
          <w:lang w:val="zh-CN" w:eastAsia="zh-CN"/>
        </w:rPr>
        <w:t xml:space="preserve"> 4 </w:t>
      </w:r>
      <w:r>
        <w:rPr>
          <w:rStyle w:val="any"/>
          <w:rFonts w:ascii="PMingLiU" w:eastAsia="PMingLiU" w:hAnsi="PMingLiU" w:cs="PMingLiU"/>
          <w:b w:val="0"/>
          <w:bCs w:val="0"/>
          <w:i w:val="0"/>
          <w:iCs w:val="0"/>
          <w:caps w:val="0"/>
          <w:color w:val="212121"/>
          <w:spacing w:val="0"/>
          <w:lang w:val="zh-CN" w:eastAsia="zh-CN"/>
        </w:rPr>
        <w:t>月</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Dear authors,</w:t>
      </w:r>
      <w:r>
        <w:rPr>
          <w:rStyle w:val="any"/>
          <w:rFonts w:ascii="Segoe UI" w:eastAsia="Segoe UI" w:hAnsi="Segoe UI" w:cs="Segoe UI"/>
          <w:b w:val="0"/>
          <w:bCs w:val="0"/>
          <w:i w:val="0"/>
          <w:iCs w:val="0"/>
          <w:caps w:val="0"/>
          <w:color w:val="212121"/>
          <w:spacing w:val="0"/>
          <w:lang w:val="zh-CN" w:eastAsia="zh-CN"/>
        </w:rPr>
        <w:t>  </w:t>
      </w:r>
      <w:r>
        <w:rPr>
          <w:rStyle w:val="any"/>
          <w:rFonts w:ascii="PMingLiU" w:eastAsia="PMingLiU" w:hAnsi="PMingLiU" w:cs="PMingLiU"/>
          <w:b w:val="0"/>
          <w:bCs w:val="0"/>
          <w:i w:val="0"/>
          <w:iCs w:val="0"/>
          <w:caps w:val="0"/>
          <w:color w:val="212121"/>
          <w:spacing w:val="0"/>
          <w:lang w:val="zh-CN" w:eastAsia="zh-CN"/>
        </w:rPr>
        <w:t>尊敬的作者们，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We found unexpected overlap within one of your figures and between a figure presented in this study and a figure presented in another study (see enclosed image below).</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我们在您的其中一个图中以及本研究中展示的图与另一研究中展示的图之间发现了意外的重叠（见下附图像）。</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strike w:val="0"/>
          <w:color w:val="212121"/>
          <w:spacing w:val="0"/>
          <w:u w:val="none"/>
          <w:lang w:val="zh-CN" w:eastAsia="zh-CN"/>
        </w:rPr>
        <w:drawing>
          <wp:inline>
            <wp:extent cx="5486400" cy="14020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620921" name=""/>
                    <pic:cNvPicPr>
                      <a:picLocks noChangeAspect="1"/>
                    </pic:cNvPicPr>
                  </pic:nvPicPr>
                  <pic:blipFill>
                    <a:blip xmlns:r="http://schemas.openxmlformats.org/officeDocument/2006/relationships" r:embed="rId7"/>
                    <a:stretch>
                      <a:fillRect/>
                    </a:stretch>
                  </pic:blipFill>
                  <pic:spPr>
                    <a:xfrm>
                      <a:off x="0" y="0"/>
                      <a:ext cx="5486400" cy="1402080"/>
                    </a:xfrm>
                    <a:prstGeom prst="rect">
                      <a:avLst/>
                    </a:prstGeom>
                    <a:ln>
                      <a:noFill/>
                    </a:ln>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The following papers are affected:</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受影响的论文如下：</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Paper 1: </w:t>
      </w:r>
      <w:r>
        <w:rPr>
          <w:rStyle w:val="any"/>
          <w:rFonts w:ascii="Segoe UI" w:eastAsia="Segoe UI" w:hAnsi="Segoe UI" w:cs="Segoe UI"/>
          <w:b w:val="0"/>
          <w:bCs w:val="0"/>
          <w:i w:val="0"/>
          <w:iCs w:val="0"/>
          <w:caps w:val="0"/>
          <w:color w:val="212121"/>
          <w:spacing w:val="0"/>
          <w:lang w:val="zh-CN" w:eastAsia="zh-CN"/>
        </w:rPr>
        <w:t>https://pubmed.ncbi.nlm.nih.gov/27896629/</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论文</w:t>
      </w:r>
      <w:r>
        <w:rPr>
          <w:rStyle w:val="any"/>
          <w:rFonts w:ascii="Segoe UI" w:eastAsia="Segoe UI" w:hAnsi="Segoe UI" w:cs="Segoe UI"/>
          <w:b w:val="0"/>
          <w:bCs w:val="0"/>
          <w:i w:val="0"/>
          <w:iCs w:val="0"/>
          <w:caps w:val="0"/>
          <w:color w:val="212121"/>
          <w:spacing w:val="0"/>
          <w:lang w:val="zh-CN" w:eastAsia="zh-CN"/>
        </w:rPr>
        <w:t xml:space="preserve"> 1: https://pubmed.ncbi.nlm.nih.gov/27896629/</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Paper 2: </w:t>
      </w:r>
      <w:r>
        <w:rPr>
          <w:rStyle w:val="any"/>
          <w:rFonts w:ascii="Segoe UI" w:eastAsia="Segoe UI" w:hAnsi="Segoe UI" w:cs="Segoe UI"/>
          <w:b w:val="0"/>
          <w:bCs w:val="0"/>
          <w:i w:val="0"/>
          <w:iCs w:val="0"/>
          <w:caps w:val="0"/>
          <w:color w:val="212121"/>
          <w:spacing w:val="0"/>
          <w:lang w:val="zh-CN" w:eastAsia="zh-CN"/>
        </w:rPr>
        <w:t>https://pubmed.ncbi.nlm.nih.gov/27446260/</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论文</w:t>
      </w:r>
      <w:r>
        <w:rPr>
          <w:rStyle w:val="any"/>
          <w:rFonts w:ascii="Segoe UI" w:eastAsia="Segoe UI" w:hAnsi="Segoe UI" w:cs="Segoe UI"/>
          <w:b w:val="0"/>
          <w:bCs w:val="0"/>
          <w:i w:val="0"/>
          <w:iCs w:val="0"/>
          <w:caps w:val="0"/>
          <w:color w:val="212121"/>
          <w:spacing w:val="0"/>
          <w:lang w:val="zh-CN" w:eastAsia="zh-CN"/>
        </w:rPr>
        <w:t xml:space="preserve"> 2: https://pubmed.ncbi.nlm.nih.gov/27446260/</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We will notify the publisher to resolve these issues.</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我们将通知出版商解决这些问题。</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PMingLiU" w:eastAsia="PMingLiU" w:hAnsi="PMingLiU" w:cs="PMingLiU"/>
          <w:b/>
          <w:bCs/>
          <w:i w:val="0"/>
          <w:iCs w:val="0"/>
          <w:caps w:val="0"/>
          <w:color w:val="212121"/>
          <w:spacing w:val="9"/>
          <w:sz w:val="21"/>
          <w:szCs w:val="21"/>
          <w:lang w:val="zh-CN" w:eastAsia="zh-CN"/>
        </w:rPr>
        <w:t>参考信息</w:t>
      </w:r>
      <w:r>
        <w:rPr>
          <w:rStyle w:val="any"/>
          <w:rFonts w:ascii="Segoe UI" w:eastAsia="Segoe UI" w:hAnsi="Segoe UI" w:cs="Segoe UI"/>
          <w:b/>
          <w:bCs/>
          <w:i w:val="0"/>
          <w:iCs w:val="0"/>
          <w:caps w:val="0"/>
          <w:color w:val="212121"/>
          <w:spacing w:val="9"/>
          <w:sz w:val="21"/>
          <w:szCs w:val="21"/>
          <w:lang w:val="zh-CN" w:eastAsia="zh-CN"/>
        </w:rPr>
        <w:br/>
      </w:r>
      <w:r>
        <w:rPr>
          <w:rStyle w:val="any"/>
          <w:rFonts w:ascii="Segoe UI" w:eastAsia="Segoe UI" w:hAnsi="Segoe UI" w:cs="Segoe UI"/>
          <w:b/>
          <w:bCs/>
          <w:i w:val="0"/>
          <w:iCs w:val="0"/>
          <w:caps w:val="0"/>
          <w:color w:val="212121"/>
          <w:spacing w:val="9"/>
          <w:sz w:val="18"/>
          <w:szCs w:val="18"/>
          <w:lang w:val="zh-CN" w:eastAsia="zh-CN"/>
        </w:rPr>
        <w:t>https://link.springer.com/article/10.1007/s10571-016-04442</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bCs/>
          <w:i w:val="0"/>
          <w:iCs w:val="0"/>
          <w:caps w:val="0"/>
          <w:color w:val="212121"/>
          <w:spacing w:val="9"/>
          <w:sz w:val="18"/>
          <w:szCs w:val="18"/>
          <w:lang w:val="zh-CN" w:eastAsia="zh-CN"/>
        </w:rPr>
        <w:t>https://pubpeer.com/publications/EEA5A4650EAD8786E2FB07FEA9D7F6#0</w:t>
      </w:r>
    </w:p>
    <w:p>
      <w:pPr>
        <w:pStyle w:val="anyParagraph"/>
        <w:widowControl/>
        <w:numPr>
          <w:ilvl w:val="0"/>
          <w:numId w:val="1"/>
        </w:numPr>
        <w:shd w:val="clear" w:color="auto" w:fill="FFFFFF"/>
        <w:spacing w:before="150" w:after="0" w:line="390" w:lineRule="atLeast"/>
        <w:ind w:left="690" w:right="315" w:hanging="197"/>
        <w:jc w:val="both"/>
        <w:rPr>
          <w:rStyle w:val="any"/>
          <w:rFonts w:ascii="Segoe UI" w:eastAsia="Segoe UI" w:hAnsi="Segoe UI" w:cs="Segoe UI"/>
          <w:b w:val="0"/>
          <w:bCs w:val="0"/>
          <w:i w:val="0"/>
          <w:iCs w:val="0"/>
          <w:caps w:val="0"/>
          <w:color w:val="333333"/>
          <w:spacing w:val="0"/>
          <w:sz w:val="21"/>
          <w:szCs w:val="21"/>
          <w:lang w:val="zh-CN" w:eastAsia="zh-CN"/>
        </w:rPr>
      </w:pPr>
    </w:p>
    <w:p>
      <w:pPr>
        <w:widowControl/>
        <w:shd w:val="clear" w:color="auto" w:fill="FFFFFF"/>
        <w:spacing w:before="0" w:after="150" w:line="390" w:lineRule="atLeast"/>
        <w:ind w:left="690" w:right="315" w:firstLine="0"/>
        <w:jc w:val="left"/>
        <w:rPr>
          <w:rStyle w:val="any"/>
          <w:rFonts w:ascii="Consolas" w:eastAsia="Consolas" w:hAnsi="Consolas" w:cs="Consolas"/>
          <w:b w:val="0"/>
          <w:bCs w:val="0"/>
          <w:i w:val="0"/>
          <w:iCs w:val="0"/>
          <w:caps w:val="0"/>
          <w:color w:val="333333"/>
          <w:spacing w:val="0"/>
          <w:sz w:val="21"/>
          <w:szCs w:val="21"/>
          <w:lang w:val="zh-CN" w:eastAsia="zh-CN"/>
        </w:rPr>
      </w:pPr>
      <w:r>
        <w:rPr>
          <w:rStyle w:val="any"/>
          <w:rFonts w:ascii="PMingLiU" w:eastAsia="PMingLiU" w:hAnsi="PMingLiU" w:cs="PMingLiU"/>
          <w:b w:val="0"/>
          <w:bCs w:val="0"/>
          <w:i w:val="0"/>
          <w:iCs w:val="0"/>
          <w:caps w:val="0"/>
          <w:color w:val="333333"/>
          <w:spacing w:val="0"/>
          <w:sz w:val="21"/>
          <w:szCs w:val="21"/>
          <w:lang w:val="zh-CN" w:eastAsia="zh-CN"/>
        </w:rPr>
        <w:t>本平台对于科研问题的探讨，始终保持严谨、深入、持续、开放和创新的态度。所有推文信源，均来源于</w:t>
      </w:r>
      <w:r>
        <w:rPr>
          <w:rStyle w:val="any"/>
          <w:rFonts w:ascii="Consolas" w:eastAsia="Consolas" w:hAnsi="Consolas" w:cs="Consolas"/>
          <w:b w:val="0"/>
          <w:bCs w:val="0"/>
          <w:i w:val="0"/>
          <w:iCs w:val="0"/>
          <w:caps w:val="0"/>
          <w:color w:val="333333"/>
          <w:spacing w:val="0"/>
          <w:sz w:val="21"/>
          <w:szCs w:val="21"/>
          <w:lang w:val="zh-CN" w:eastAsia="zh-CN"/>
        </w:rPr>
        <w:t>pubpeer</w:t>
      </w:r>
      <w:r>
        <w:rPr>
          <w:rStyle w:val="any"/>
          <w:rFonts w:ascii="PMingLiU" w:eastAsia="PMingLiU" w:hAnsi="PMingLiU" w:cs="PMingLiU"/>
          <w:b w:val="0"/>
          <w:bCs w:val="0"/>
          <w:i w:val="0"/>
          <w:iCs w:val="0"/>
          <w:caps w:val="0"/>
          <w:color w:val="333333"/>
          <w:spacing w:val="0"/>
          <w:sz w:val="21"/>
          <w:szCs w:val="21"/>
          <w:lang w:val="zh-CN" w:eastAsia="zh-CN"/>
        </w:rPr>
        <w:t>、</w:t>
      </w:r>
      <w:r>
        <w:rPr>
          <w:rStyle w:val="any"/>
          <w:rFonts w:ascii="Consolas" w:eastAsia="Consolas" w:hAnsi="Consolas" w:cs="Consolas"/>
          <w:b w:val="0"/>
          <w:bCs w:val="0"/>
          <w:i w:val="0"/>
          <w:iCs w:val="0"/>
          <w:caps w:val="0"/>
          <w:color w:val="333333"/>
          <w:spacing w:val="0"/>
          <w:sz w:val="21"/>
          <w:szCs w:val="21"/>
          <w:lang w:val="zh-CN" w:eastAsia="zh-CN"/>
        </w:rPr>
        <w:t>For Better Science</w:t>
      </w:r>
      <w:r>
        <w:rPr>
          <w:rStyle w:val="any"/>
          <w:rFonts w:ascii="PMingLiU" w:eastAsia="PMingLiU" w:hAnsi="PMingLiU" w:cs="PMingLiU"/>
          <w:b w:val="0"/>
          <w:bCs w:val="0"/>
          <w:i w:val="0"/>
          <w:iCs w:val="0"/>
          <w:caps w:val="0"/>
          <w:color w:val="333333"/>
          <w:spacing w:val="0"/>
          <w:sz w:val="21"/>
          <w:szCs w:val="21"/>
          <w:lang w:val="zh-CN" w:eastAsia="zh-CN"/>
        </w:rPr>
        <w:t>等网站公开质疑。我们从来没有、也永远不会主动查重论文并去</w:t>
      </w:r>
      <w:r>
        <w:rPr>
          <w:rStyle w:val="any"/>
          <w:rFonts w:ascii="Consolas" w:eastAsia="Consolas" w:hAnsi="Consolas" w:cs="Consolas"/>
          <w:b w:val="0"/>
          <w:bCs w:val="0"/>
          <w:i w:val="0"/>
          <w:iCs w:val="0"/>
          <w:caps w:val="0"/>
          <w:color w:val="333333"/>
          <w:spacing w:val="0"/>
          <w:sz w:val="21"/>
          <w:szCs w:val="21"/>
          <w:lang w:val="zh-CN" w:eastAsia="zh-CN"/>
        </w:rPr>
        <w:t>pubpeer</w:t>
      </w:r>
      <w:r>
        <w:rPr>
          <w:rStyle w:val="any"/>
          <w:rFonts w:ascii="PMingLiU" w:eastAsia="PMingLiU" w:hAnsi="PMingLiU" w:cs="PMingLiU"/>
          <w:b w:val="0"/>
          <w:bCs w:val="0"/>
          <w:i w:val="0"/>
          <w:iCs w:val="0"/>
          <w:caps w:val="0"/>
          <w:color w:val="333333"/>
          <w:spacing w:val="0"/>
          <w:sz w:val="21"/>
          <w:szCs w:val="21"/>
          <w:lang w:val="zh-CN" w:eastAsia="zh-CN"/>
        </w:rPr>
        <w:t>上质疑。我们尊重他人的研究成果和贡献，通过交流和合作，共同推动科研领域的进步和发展。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029&amp;idx=1&amp;sn=5c02def1713d6a80f5eedb882ad5d88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