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杰出学者康毅滨团队发表的高水平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Cancer Research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17:09:24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515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31" w:right="831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  <w:t>诚信科研-编者按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）；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4054145" cy="232718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165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08080"/>
          <w:spacing w:val="8"/>
          <w:sz w:val="26"/>
          <w:szCs w:val="26"/>
        </w:rPr>
      </w:pPr>
      <w:r>
        <w:pict>
          <v:rect id="_x0000_i1025" style="width:6in;height:0.75pt" o:hrpct="1000" o:hrstd="t" o:hr="t" filled="t" fillcolor="white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9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2010年5月12日，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普林斯顿大学康毅滨团队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9"/>
          <w:sz w:val="23"/>
          <w:szCs w:val="23"/>
          <w:shd w:val="clear" w:color="auto" w:fill="FFFFFF"/>
        </w:rPr>
        <w:t>Cancer Research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In Vivo Dynamics and Distinct Functions of Hypoxia in Primary Tumor Growth and Organotropic Metastasis of Breast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文章内存在1对图片重复使用。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263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800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47925" cy="12763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92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对所有图片（非蛋白印迹）进行检测，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发现文章内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对图片重复：图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</w:rPr>
        <w:t>4D-2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</w:rPr>
        <w:t>S5B-1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出现部分重叠，但明显代表不一样的实验结果。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346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0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与杂志社联系更正文章重复的图片。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9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2011年8月7日，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普林斯顿大学康毅滨团队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9"/>
          <w:sz w:val="23"/>
          <w:szCs w:val="23"/>
          <w:shd w:val="clear" w:color="auto" w:fill="FFFFFF"/>
        </w:rPr>
        <w:t>Nature Medicine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FFFFFF"/>
        </w:rPr>
        <w:t>（IF=59）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Direct targeting of Sec23a by miR-200s influences cancer cell secretome and promotes metastatic colonization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文章内存在1对图片重复使用。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2829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985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38400" cy="12954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568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对所有图片（非蛋白印迹）进行检测，iFigures发现文章内1对图片重复：图S8A-3与S8A-4出现部分重叠，但明显代表不一样的实验结果。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020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338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与杂志社联系更正文章重复的图片。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145" cy="2327184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428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847&amp;idx=1&amp;sn=72337ddb48f1ed854ff15c42281f5f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jpe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