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多处图像重复及未经核实或授权更改作者署名，中国医学科学院阜外医院深圳医院（深圳市孙逸仙心血管医院陈协辉的论文被撤稿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2025-04-09 13:33:28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43921"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0048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29</w:t>
      </w:r>
      <w:r>
        <w:rPr>
          <w:rStyle w:val="any"/>
          <w:rFonts w:ascii="PMingLiU" w:eastAsia="PMingLiU" w:hAnsi="PMingLiU" w:cs="PMingLiU"/>
          <w:spacing w:val="9"/>
          <w:sz w:val="21"/>
          <w:szCs w:val="21"/>
        </w:rPr>
        <w:t>日，中国医学科学院阜外医院深圳医院（深圳市孙逸仙心血管医院）的</w:t>
      </w:r>
      <w:r>
        <w:rPr>
          <w:rStyle w:val="any"/>
          <w:rFonts w:ascii="Times New Roman" w:eastAsia="Times New Roman" w:hAnsi="Times New Roman" w:cs="Times New Roman"/>
          <w:color w:val="C84D0C"/>
          <w:spacing w:val="9"/>
          <w:sz w:val="21"/>
          <w:szCs w:val="21"/>
        </w:rPr>
        <w:t>Hong-Lei Zhao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&amp; Bao-Quan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Ying Luo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Xie-Hui Chen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陈协辉）</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Life Sciences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IF=5.2</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Exogenous hydrogen sulfide ameliorates high glucose-induced myocardial injury &amp; inflammation via the CIRP-MAPK signaling pathway in H9c2 cardiac cells"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外源性硫化氢通过</w:t>
      </w:r>
      <w:r>
        <w:rPr>
          <w:rStyle w:val="any"/>
          <w:rFonts w:ascii="Times New Roman" w:eastAsia="Times New Roman" w:hAnsi="Times New Roman" w:cs="Times New Roman"/>
          <w:spacing w:val="9"/>
          <w:sz w:val="21"/>
          <w:szCs w:val="21"/>
        </w:rPr>
        <w:t xml:space="preserve"> CIRP-MAPK </w:t>
      </w:r>
      <w:r>
        <w:rPr>
          <w:rStyle w:val="any"/>
          <w:rFonts w:ascii="PMingLiU" w:eastAsia="PMingLiU" w:hAnsi="PMingLiU" w:cs="PMingLiU"/>
          <w:spacing w:val="9"/>
          <w:sz w:val="21"/>
          <w:szCs w:val="21"/>
        </w:rPr>
        <w:t>信号通路改善</w:t>
      </w:r>
      <w:r>
        <w:rPr>
          <w:rStyle w:val="any"/>
          <w:rFonts w:ascii="Times New Roman" w:eastAsia="Times New Roman" w:hAnsi="Times New Roman" w:cs="Times New Roman"/>
          <w:spacing w:val="9"/>
          <w:sz w:val="21"/>
          <w:szCs w:val="21"/>
        </w:rPr>
        <w:t xml:space="preserve"> H9c2 </w:t>
      </w:r>
      <w:r>
        <w:rPr>
          <w:rStyle w:val="any"/>
          <w:rFonts w:ascii="PMingLiU" w:eastAsia="PMingLiU" w:hAnsi="PMingLiU" w:cs="PMingLiU"/>
          <w:spacing w:val="9"/>
          <w:sz w:val="21"/>
          <w:szCs w:val="21"/>
        </w:rPr>
        <w:t>心肌细胞中由高血糖诱发的心肌损伤和炎症反应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本研究得到深圳市卫生和计划生育委员会重点项目的支持（项目编号：</w:t>
      </w:r>
      <w:r>
        <w:rPr>
          <w:rStyle w:val="any"/>
          <w:rFonts w:ascii="Times New Roman" w:eastAsia="Times New Roman" w:hAnsi="Times New Roman" w:cs="Times New Roman"/>
          <w:spacing w:val="9"/>
          <w:sz w:val="21"/>
          <w:szCs w:val="21"/>
        </w:rPr>
        <w:t>SZXJ2017020</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SZSM201612056</w:t>
      </w:r>
      <w:r>
        <w:rPr>
          <w:rStyle w:val="any"/>
          <w:rFonts w:ascii="PMingLiU" w:eastAsia="PMingLiU" w:hAnsi="PMingLiU" w:cs="PMingLiU"/>
          <w:spacing w:val="9"/>
          <w:sz w:val="21"/>
          <w:szCs w:val="21"/>
        </w:rPr>
        <w:t>）。</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7374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38714" name=""/>
                    <pic:cNvPicPr>
                      <a:picLocks noChangeAspect="1"/>
                    </pic:cNvPicPr>
                  </pic:nvPicPr>
                  <pic:blipFill>
                    <a:blip xmlns:r="http://schemas.openxmlformats.org/officeDocument/2006/relationships" r:embed="rId8"/>
                    <a:stretch>
                      <a:fillRect/>
                    </a:stretch>
                  </pic:blipFill>
                  <pic:spPr>
                    <a:xfrm>
                      <a:off x="0" y="0"/>
                      <a:ext cx="5486400" cy="473744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152851"/>
            <wp:docPr id="100004" name="" descr="医院动态-中国医学科学院阜外医院深圳医院（深圳市孙逸仙心血管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5603" name=""/>
                    <pic:cNvPicPr>
                      <a:picLocks noChangeAspect="1"/>
                    </pic:cNvPicPr>
                  </pic:nvPicPr>
                  <pic:blipFill>
                    <a:blip xmlns:r="http://schemas.openxmlformats.org/officeDocument/2006/relationships" r:embed="rId9"/>
                    <a:stretch>
                      <a:fillRect/>
                    </a:stretch>
                  </pic:blipFill>
                  <pic:spPr>
                    <a:xfrm>
                      <a:off x="0" y="0"/>
                      <a:ext cx="5486400" cy="3152851"/>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6587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图8B,D的WB印迹出现在多篇无关论文中。</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8B,D.</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0480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8854" name=""/>
                    <pic:cNvPicPr>
                      <a:picLocks noChangeAspect="1"/>
                    </pic:cNvPicPr>
                  </pic:nvPicPr>
                  <pic:blipFill>
                    <a:blip xmlns:r="http://schemas.openxmlformats.org/officeDocument/2006/relationships" r:embed="rId10"/>
                    <a:stretch>
                      <a:fillRect/>
                    </a:stretch>
                  </pic:blipFill>
                  <pic:spPr>
                    <a:xfrm>
                      <a:off x="0" y="0"/>
                      <a:ext cx="5486400" cy="304800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For comparison, picking one match for 8B out of multiple options, here are FIgs 4A, 7C from Long et al (2018).</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575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79938" name=""/>
                    <pic:cNvPicPr>
                      <a:picLocks noChangeAspect="1"/>
                    </pic:cNvPicPr>
                  </pic:nvPicPr>
                  <pic:blipFill>
                    <a:blip xmlns:r="http://schemas.openxmlformats.org/officeDocument/2006/relationships" r:embed="rId11"/>
                    <a:stretch>
                      <a:fillRect/>
                    </a:stretch>
                  </pic:blipFill>
                  <pic:spPr>
                    <a:xfrm>
                      <a:off x="0" y="0"/>
                      <a:ext cx="5486400" cy="257556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loading control for 8D has again multiplied itself across this oeuvre of papers. Here, Fig 9c of (Zhang et al (2019)]</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590203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25034" name=""/>
                    <pic:cNvPicPr>
                      <a:picLocks noChangeAspect="1"/>
                    </pic:cNvPicPr>
                  </pic:nvPicPr>
                  <pic:blipFill>
                    <a:blip xmlns:r="http://schemas.openxmlformats.org/officeDocument/2006/relationships" r:embed="rId12"/>
                    <a:stretch>
                      <a:fillRect/>
                    </a:stretch>
                  </pic:blipFill>
                  <pic:spPr>
                    <a:xfrm>
                      <a:off x="0" y="0"/>
                      <a:ext cx="5486400" cy="5902036"/>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At left, Fig 4B from Tian et al (2018). "Western blot analysis demonstrates that miR‐485 reduces the protein expressions of RhoA, IL‐6, TGF‐β, and p38MAPKs as well as the extent of p‐p38MAPK". At right, Fig 7C from Han et al (2018). "Gray value of cAMP, PKA and CREB1 protein bands".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2301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4829" name=""/>
                    <pic:cNvPicPr>
                      <a:picLocks noChangeAspect="1"/>
                    </pic:cNvPicPr>
                  </pic:nvPicPr>
                  <pic:blipFill>
                    <a:blip xmlns:r="http://schemas.openxmlformats.org/officeDocument/2006/relationships" r:embed="rId13"/>
                    <a:stretch>
                      <a:fillRect/>
                    </a:stretch>
                  </pic:blipFill>
                  <pic:spPr>
                    <a:xfrm>
                      <a:off x="0" y="0"/>
                      <a:ext cx="5486400" cy="223012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图6存在多处重复面板。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6. A panel is duplicated. Two pairs of panels overlap.</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6032612"/>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49032" name=""/>
                    <pic:cNvPicPr>
                      <a:picLocks noChangeAspect="1"/>
                    </pic:cNvPicPr>
                  </pic:nvPicPr>
                  <pic:blipFill>
                    <a:blip xmlns:r="http://schemas.openxmlformats.org/officeDocument/2006/relationships" r:embed="rId14"/>
                    <a:stretch>
                      <a:fillRect/>
                    </a:stretch>
                  </pic:blipFill>
                  <pic:spPr>
                    <a:xfrm>
                      <a:off x="0" y="0"/>
                      <a:ext cx="5486400" cy="603261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9281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于2025年3月28日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已发现多处图像重复情况。图6A的多个面板存在重复（例如，对照组顶部与NaHS + HG组底部，以及U0126组顶部）。图1B中的“CIRP-NC”条带似乎也与Long等人（2018年）提交给《Molecules and Cells》的文章（在本文提交前3个月，DOI：10.14348/molcells.2018.2211）中图10D的“β-肌动蛋白miR-374b抑制剂”条带重复。此外，在本文修订过程中，未经核实或授权就多次更改作者署名，违反了期刊政策：在第一次修订时删除了两名作者，增加了一名作者后又将其删除，并在修订后的论文中增加了Yun-Ling Hao、Fang Fang和Wen-Ying Zhang三名作者。</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此项调查由爱思唯尔的研究诚信与出版伦理团队进行，并得到了主编的确认。</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作者同意撤稿。</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0855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https://pubpeer.com/publications/5615E7E0E85566E1D2BDD27E5136AF</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https://pubmed.ncbi.nlm.nih.gov/29857073/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https://www.sciencedirect.com/science/article/pii/S0024320518303199?via%3Dihub</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26&amp;idx=5&amp;sn=5d62ed0ca1b0cf9f703cff15dc36fca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