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25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8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95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98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90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89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23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48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