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论文被撤稿，实验复现难、图片疑点、细胞系污染成撤稿导火索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1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51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03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月刊的研究引发关注。该研究由包头医学院第一附属医院胃肠外科的强郭、辛媛王、延昌翟、永伟董、青思何等人开展，论文题目为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“Oxaliplatin activates P53/miR‐34a/survivin axis in inhibiting the progression of gastric cancer cells”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69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47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研究本旨在探究奥沙利铂对胃癌细胞进展的抑制作用机制，然而后续却状况频发。论文发表后，有网友在评论区指出，该研究中使用的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- 823 </w:t>
      </w:r>
      <w:r>
        <w:rPr>
          <w:rStyle w:val="any"/>
          <w:rFonts w:ascii="PMingLiU" w:eastAsia="PMingLiU" w:hAnsi="PMingLiU" w:cs="PMingLiU"/>
          <w:spacing w:val="8"/>
        </w:rPr>
        <w:t>细胞系并非胃癌细胞，而是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细胞的衍生物，相关依据可参考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https://www.cellosaurus.org/CVCL_3360</w:t>
      </w:r>
      <w:r>
        <w:rPr>
          <w:rStyle w:val="any"/>
          <w:rFonts w:ascii="PMingLiU" w:eastAsia="PMingLiU" w:hAnsi="PMingLiU" w:cs="PMingLiU"/>
          <w:spacing w:val="8"/>
        </w:rPr>
        <w:t>网站信息。这一质疑引发了学界对该研究合理性的担忧。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随后在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日，该文章被撤回。此次撤稿是由期刊主编马克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维尔德霍恩与约翰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威利父子有限公司协商决定的。撤稿原因主要有三点：一是研究方法部分信息不足，导致无法精确复现实验；二是论文中图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肌动蛋白条带被怀疑与同图其他条带并非来自同一块凝胶；三是所使用的细胞系被报道存在污染问题。编辑联系作者索要评论和支持数据，但未得到回应，编辑由此判定该研究的结果和结论不可靠。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为科研工作者敲响警钟，细胞系的准确使用对研究结果的可靠性至关重要，在实验设计和开展过程中，必须严格把控实验材料和方法的准确性、科学性，避免此类问题再次发生，以确保科研成果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https://pubmed.ncbi.nlm.nih.gov/39254476/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4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0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2&amp;sn=fd6e3dedd74bfaa1596bd84bfd3dba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