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近日基金委通报！海南医学院第一附属医院公绪合买卖实验数据！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08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877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近期，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国家自然科学基金委员会监督委员会对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首都医科大学附属北京友谊医院公绪合涉嫌学术不端开展了调查。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71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99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3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18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18"/>
          <w:szCs w:val="18"/>
        </w:rPr>
        <w:t>首都医科大学附属北京友谊医院官网已无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0"/>
          <w:sz w:val="18"/>
          <w:szCs w:val="18"/>
        </w:rPr>
        <w:t>公绪合个人主页</w:t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75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2019年2月5日，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首都医科大学附属北京友谊医院心血管内科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Journal of Cellular Physiology(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IF=4.5)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Exosomes derived from SDF1-overexpressing mesenchymal stem cells inhibit ischemic myocardial cell apoptosis and promote cardiac endothelial microvascular regeneration in mice with myocardial infarction"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从表达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SDF1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的间充质干细胞中提取的外泌体可抑制缺血性心肌细胞凋亡，促进心肌梗死小鼠心脏内皮微血管再生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首都医科大学附属北京友谊医院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Xu-He Gong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公绪合）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81600196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）和北京代谢紊乱相关心血管疾病重点实验室（编号：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OP2018DXWL01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691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00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7" name="" descr="首都医科大学附属北京友谊医院-医生名片-出诊信息-门诊时间表-预约挂号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55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03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调查内容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经查，公绪合在单位具备研究条件的情况下将基金项目（批准号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81600196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）研究内容委托第三方公司完成，存在买卖实验数据的行为；用买卖数据发表第一兼通讯作者论文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“Xu-He Gong*, et al. Exosomes derived from SDF1-overexpressing mesenchymal stem cells inhibit ischemic myocardial cell apoptosis and promote cardiac endothelial microvascular regeneration in mice with myocardial infarction. J. Cell. Physiol.2019: 1-16.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（标注基金号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81600196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，并将数据和论文列入上述基金项目结题报告。公绪合应对以上问题负责。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经国家自然科学基金委员会监督委员会六届三次会议审议，由国家自然科学基金委员会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年第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次委务会议审定，决定依据《国家自然科学基金项目科研不端行为调查处理办法》第四十七条、第四十二条第二项、第四十六条，撤销公绪合国家自然科学基金项目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脐血间充质干细胞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Exosome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在旁分泌调节心肌梗死微环境改善心肌重塑中的作用和机制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（批准号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81600196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），追回已拨资金，取消公绪合国家自然科学基金项目申请和参与申请资格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日至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2029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日），给予公绪合通报批评。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https://onlinelibrary.wiley.com/doi/10.1002/jcp.28070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https://www.nsfc.gov.cn/publish/portal0/jd/04/info94739.htm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声明：</w:t>
      </w:r>
    </w:p>
    <w:p>
      <w:pPr>
        <w:spacing w:before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76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142256"/>
          <w:spacing w:val="9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509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207&amp;idx=4&amp;sn=a8adcfb09d007edc33d7eae6f42bc6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