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潍坊市益都中心医院的文章被撤回，主要原因是不同文章间涉嫌图像的重复使用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2025-04-17 10:33:13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25166"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ATP结合盒转运体G1（ABCG1）是ABC转运体家族的成员，参与调节细胞胆固醇稳态。它在胆固醇稳态和肿瘤免疫中发挥重要作用，但在肺癌中尚未见报道。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4 月 27 日，潍坊市益都中心医院的Tian Chunyan 等人在</w:t>
      </w:r>
      <w:r>
        <w:rPr>
          <w:rStyle w:val="any"/>
          <w:rFonts w:ascii="Microsoft YaHei UI" w:eastAsia="Microsoft YaHei UI" w:hAnsi="Microsoft YaHei UI" w:cs="Microsoft YaHei UI"/>
          <w:b/>
          <w:bCs/>
          <w:i/>
          <w:iCs/>
          <w:color w:val="222222"/>
          <w:spacing w:val="8"/>
          <w:sz w:val="23"/>
          <w:szCs w:val="23"/>
        </w:rPr>
        <w:t>Experimental and therapeutic medicine</w:t>
      </w:r>
      <w:r>
        <w:rPr>
          <w:rStyle w:val="any"/>
          <w:rFonts w:ascii="Microsoft YaHei UI" w:eastAsia="Microsoft YaHei UI" w:hAnsi="Microsoft YaHei UI" w:cs="Microsoft YaHei UI"/>
          <w:color w:val="222222"/>
          <w:spacing w:val="8"/>
          <w:sz w:val="23"/>
          <w:szCs w:val="23"/>
        </w:rPr>
        <w:t>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ABCG1 as a potential oncogene in lung cancer</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ABCG1促进HKULC4细胞的迁移和侵袭，因此ABCG1可能成为改善非小细胞肺癌治疗的新治疗靶点。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2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80763" name=""/>
                    <pic:cNvPicPr>
                      <a:picLocks noChangeAspect="1"/>
                    </pic:cNvPicPr>
                  </pic:nvPicPr>
                  <pic:blipFill>
                    <a:blip xmlns:r="http://schemas.openxmlformats.org/officeDocument/2006/relationships" r:embed="rId8"/>
                    <a:stretch>
                      <a:fillRect/>
                    </a:stretch>
                  </pic:blipFill>
                  <pic:spPr>
                    <a:xfrm>
                      <a:off x="0" y="0"/>
                      <a:ext cx="5486400" cy="2609255"/>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本文发表后，一位读者向编辑反映，第</w:t>
      </w:r>
      <w:r>
        <w:rPr>
          <w:rStyle w:val="any"/>
          <w:rFonts w:ascii="Times New Roman" w:eastAsia="Times New Roman" w:hAnsi="Times New Roman" w:cs="Times New Roman"/>
          <w:spacing w:val="8"/>
          <w:sz w:val="23"/>
          <w:szCs w:val="23"/>
        </w:rPr>
        <w:t>3191</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1A</w:t>
      </w:r>
      <w:r>
        <w:rPr>
          <w:rStyle w:val="any"/>
          <w:rFonts w:ascii="PMingLiU" w:eastAsia="PMingLiU" w:hAnsi="PMingLiU" w:cs="PMingLiU"/>
          <w:spacing w:val="8"/>
          <w:sz w:val="23"/>
          <w:szCs w:val="23"/>
        </w:rPr>
        <w:t>所示的</w:t>
      </w:r>
      <w:r>
        <w:rPr>
          <w:rStyle w:val="any"/>
          <w:rFonts w:ascii="Times New Roman" w:eastAsia="Times New Roman" w:hAnsi="Times New Roman" w:cs="Times New Roman"/>
          <w:spacing w:val="8"/>
          <w:sz w:val="23"/>
          <w:szCs w:val="23"/>
        </w:rPr>
        <w:t>Western blot</w:t>
      </w:r>
      <w:r>
        <w:rPr>
          <w:rStyle w:val="any"/>
          <w:rFonts w:ascii="PMingLiU" w:eastAsia="PMingLiU" w:hAnsi="PMingLiU" w:cs="PMingLiU"/>
          <w:spacing w:val="8"/>
          <w:sz w:val="23"/>
          <w:szCs w:val="23"/>
        </w:rPr>
        <w:t>数据和第</w:t>
      </w:r>
      <w:r>
        <w:rPr>
          <w:rStyle w:val="any"/>
          <w:rFonts w:ascii="Times New Roman" w:eastAsia="Times New Roman" w:hAnsi="Times New Roman" w:cs="Times New Roman"/>
          <w:spacing w:val="8"/>
          <w:sz w:val="23"/>
          <w:szCs w:val="23"/>
        </w:rPr>
        <w:t>3193</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所示的细胞迁移实验数据与不同机构不同作者撰写的其他文章中以不同形式出现的数据惊人地相似，而这些数据在本文提交给《实验与治疗医学》之前已在其他期刊发表。</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鉴于上述数据显然此前已发表，《实验与治疗医学》编辑决定撤回该论文。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编辑部已要求作者就这些问题作出解释，但尚未收到回复。编辑部对由此造成的不便深表歉意。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https://www.spandidos-publications.com/10.3892/etm.2025.12858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5375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3688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342&amp;idx=4&amp;sn=0f0f186cdc4c07e78cbed5040bd992d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