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90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1&amp;sn=d3bf13f4061200e9aa671e25800db9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