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湖南师范大学医学院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11:26:44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464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551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湖南师范大学医学院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PLoS One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 potentiates TRAIL-induced apoptosis of gastric cancer cells through endoplasmic reticulum stress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通过内质网应激增强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诱导的癌症细胞凋亡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背景：蓖麻素是从栀子中提取的主要活性成分之一，已被报道对多种癌症细胞具有抗癌活性，但这种活性的确切机制尚不清楚。材料和方法：采用细胞凋亡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ELISA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检测试剂盒，流式细胞仪（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FCM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）碘化丙啶（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）染色，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ELISA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1.0μmol/l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50 ng/ml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）单独或联合对癌症细胞株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BGC-823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SGC-7901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MGC-803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的凋亡活性，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western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印迹分析检测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polyADP-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核糖聚合酶（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）蛋白的切割。使用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FCM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分析和蛋白质印迹评估死亡受体（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）表达水平。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2'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7'-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二氯荧光素二乙酸酯（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DCFH-DA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）被用作探针来测量细胞中活性氧（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）水平的增加。使用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转染和药理学抑制剂等多种干预措施来探索这些作用的机制。结果：亚毒性浓度的卡斯蒂星显著增强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BGC-823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SGC-7901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MGC-803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细胞的细胞毒性和凋亡。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显著上调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受体表达，但对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或诱饵受体没有影响。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缺失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显著降低了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联合应用诱导的细胞凋亡。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CCAAT/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增强子结合蛋白同源蛋白（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CHOP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）的基因沉默，以及用内质网（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）应激抑制剂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salubinal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预处理，减弱了卡斯蒂林诱导的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受体表达、凋亡和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产生。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下调细胞存活蛋白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cFLIP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XIAP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survivin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的表达水平。此外，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还诱导了其他癌症细胞（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SGC-7901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MGC-803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蛋白的表达。结论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意义：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诱导的细胞凋亡来增强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诱导的凋亡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细胞存活蛋白和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受体通过对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ROS-ER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应激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CHOP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途径的作用而上调。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湖南师范大学医学院，长沙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PLoS One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本文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4-7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中的结果表示担忧。具体来说：在图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2H PARP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面板中，当调整对比度时，泳道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周围的区域背景与面板的整体背景不匹配。尽管代表了不同的实验结果，但以下结果似乎相似：中图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 DR4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5B 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。续图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6A DR4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4-5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。尽管代表了不同的实验结果，但以下面板看起来很相似：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6C CHOP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4D GADD153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中的以下面板似乎存在一个或多个垂直不连续性：。图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5Bβ-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肌动蛋白面板。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?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6A GRP78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?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6A DR4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面板。作者没有回应编辑要求的回复和基础数据。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中报道的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BGC-823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SGC-7901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MGC-803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细胞系被鉴定为受污染的细胞系，是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HeLa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的潜在衍生物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[5-8]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。鉴于上述未解决的问题，这些问题破坏了报告结果和结论的可靠性，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PLOS One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编辑撤回了这篇文章。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55638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0612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323404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00453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32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94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990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797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587&amp;idx=1&amp;sn=7e3867b4d542f6b39d6d1d4c276efe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