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长江学者？上海市第四人民医院院长</w:t>
        </w:r>
        <w:r>
          <w:rPr>
            <w:rStyle w:val="a"/>
            <w:rFonts w:ascii="Times New Roman" w:eastAsia="Times New Roman" w:hAnsi="Times New Roman" w:cs="Times New Roman"/>
            <w:b w:val="0"/>
            <w:bCs w:val="0"/>
            <w:spacing w:val="8"/>
          </w:rPr>
          <w:t>Lize Xiong</w:t>
        </w:r>
        <w:r>
          <w:rPr>
            <w:rStyle w:val="a"/>
            <w:rFonts w:ascii="PMingLiU" w:eastAsia="PMingLiU" w:hAnsi="PMingLiU" w:cs="PMingLiU"/>
            <w:b w:val="0"/>
            <w:bCs w:val="0"/>
            <w:spacing w:val="8"/>
          </w:rPr>
          <w:t>（音译：熊利则）团队论文被质疑图像重复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2025-04-15 22:40:54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54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21851" name=""/>
                    <pic:cNvPicPr>
                      <a:picLocks noChangeAspect="1"/>
                    </pic:cNvPicPr>
                  </pic:nvPicPr>
                  <pic:blipFill>
                    <a:blip xmlns:r="http://schemas.openxmlformats.org/officeDocument/2006/relationships" r:embed="rId6"/>
                    <a:stretch>
                      <a:fillRect/>
                    </a:stretch>
                  </pic:blipFill>
                  <pic:spPr>
                    <a:xfrm>
                      <a:off x="0" y="0"/>
                      <a:ext cx="5486400" cy="3205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2012</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Noninvasive limb remote ischemic preconditioning contributes neuroprotective effects via activation of adenosine A1 receptor and redox status after transient focal cerebral ischemia in rats</w:t>
      </w:r>
      <w:r>
        <w:rPr>
          <w:rStyle w:val="any"/>
          <w:rFonts w:ascii="PMingLiU" w:eastAsia="PMingLiU" w:hAnsi="PMingLiU" w:cs="PMingLiU"/>
          <w:spacing w:val="8"/>
        </w:rPr>
        <w:t>（大鼠短暂局灶性脑缺血后，无创性肢体远隔缺血预处理通过激活腺苷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受体和氧化还原状态发挥神经保护作用）的论文在《</w:t>
      </w:r>
      <w:r>
        <w:rPr>
          <w:rStyle w:val="any"/>
          <w:rFonts w:ascii="Times New Roman" w:eastAsia="Times New Roman" w:hAnsi="Times New Roman" w:cs="Times New Roman"/>
          <w:spacing w:val="8"/>
        </w:rPr>
        <w:t>Brain Research</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10.1016/j.brainres.2012.04.017</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对该论文提出质疑，认为有图像重复。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97977" name=""/>
                    <pic:cNvPicPr>
                      <a:picLocks noChangeAspect="1"/>
                    </pic:cNvPicPr>
                  </pic:nvPicPr>
                  <pic:blipFill>
                    <a:blip xmlns:r="http://schemas.openxmlformats.org/officeDocument/2006/relationships" r:embed="rId7"/>
                    <a:stretch>
                      <a:fillRect/>
                    </a:stretch>
                  </pic:blipFill>
                  <pic:spPr>
                    <a:xfrm>
                      <a:off x="0" y="0"/>
                      <a:ext cx="5486400" cy="1371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研究腺苷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w:t>
      </w:r>
      <w:r>
        <w:rPr>
          <w:rStyle w:val="any"/>
          <w:rFonts w:ascii="Times New Roman" w:eastAsia="Times New Roman" w:hAnsi="Times New Roman" w:cs="Times New Roman"/>
          <w:spacing w:val="8"/>
        </w:rPr>
        <w:t>A1R</w:t>
      </w:r>
      <w:r>
        <w:rPr>
          <w:rStyle w:val="any"/>
          <w:rFonts w:ascii="PMingLiU" w:eastAsia="PMingLiU" w:hAnsi="PMingLiU" w:cs="PMingLiU"/>
          <w:spacing w:val="8"/>
        </w:rPr>
        <w:t>）是否通过肢体远程缺血性预处理（</w:t>
      </w:r>
      <w:r>
        <w:rPr>
          <w:rStyle w:val="any"/>
          <w:rFonts w:ascii="Times New Roman" w:eastAsia="Times New Roman" w:hAnsi="Times New Roman" w:cs="Times New Roman"/>
          <w:spacing w:val="8"/>
        </w:rPr>
        <w:t>RIPC</w:t>
      </w:r>
      <w:r>
        <w:rPr>
          <w:rStyle w:val="any"/>
          <w:rFonts w:ascii="PMingLiU" w:eastAsia="PMingLiU" w:hAnsi="PMingLiU" w:cs="PMingLiU"/>
          <w:spacing w:val="8"/>
        </w:rPr>
        <w:t>）是否通过非侵入性止血带对大鼠局灶性脑缺血性损伤产生神经保护作用。</w:t>
      </w:r>
      <w:r>
        <w:rPr>
          <w:rStyle w:val="any"/>
          <w:rFonts w:ascii="Times New Roman" w:eastAsia="Times New Roman" w:hAnsi="Times New Roman" w:cs="Times New Roman"/>
          <w:spacing w:val="8"/>
        </w:rPr>
        <w:t>Methods: One hundred twenty-eight Sprague-Dawley (SD) rats were randomly assigned into eight groups (n = 16 each): MCAO, Control, 8-cyclopentyl-1,3-dipropulxanthine (DPCPX, Adenosine A1 receptor antagonist), RIPC, DPCPX + RIPC, Vehicle + RIPC,2-</w:t>
      </w:r>
      <w:r>
        <w:rPr>
          <w:rStyle w:val="any"/>
          <w:rFonts w:ascii="PMingLiU" w:eastAsia="PMingLiU" w:hAnsi="PMingLiU" w:cs="PMingLiU"/>
          <w:spacing w:val="8"/>
        </w:rPr>
        <w:t>氯</w:t>
      </w:r>
      <w:r>
        <w:rPr>
          <w:rStyle w:val="any"/>
          <w:rFonts w:ascii="Times New Roman" w:eastAsia="Times New Roman" w:hAnsi="Times New Roman" w:cs="Times New Roman"/>
          <w:spacing w:val="8"/>
        </w:rPr>
        <w:t>-N-6-</w:t>
      </w:r>
      <w:r>
        <w:rPr>
          <w:rStyle w:val="any"/>
          <w:rFonts w:ascii="PMingLiU" w:eastAsia="PMingLiU" w:hAnsi="PMingLiU" w:cs="PMingLiU"/>
          <w:spacing w:val="8"/>
        </w:rPr>
        <w:t>环戊酰腺苷（</w:t>
      </w:r>
      <w:r>
        <w:rPr>
          <w:rStyle w:val="any"/>
          <w:rFonts w:ascii="Times New Roman" w:eastAsia="Times New Roman" w:hAnsi="Times New Roman" w:cs="Times New Roman"/>
          <w:spacing w:val="8"/>
        </w:rPr>
        <w:t>CCPA</w:t>
      </w:r>
      <w:r>
        <w:rPr>
          <w:rStyle w:val="any"/>
          <w:rFonts w:ascii="PMingLiU" w:eastAsia="PMingLiU" w:hAnsi="PMingLiU" w:cs="PMingLiU"/>
          <w:spacing w:val="8"/>
        </w:rPr>
        <w:t>，腺苷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受体激动剂）和</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组。所有动物都接受了右脑动脉阻塞（</w:t>
      </w:r>
      <w:r>
        <w:rPr>
          <w:rStyle w:val="any"/>
          <w:rFonts w:ascii="Times New Roman" w:eastAsia="Times New Roman" w:hAnsi="Times New Roman" w:cs="Times New Roman"/>
          <w:spacing w:val="8"/>
        </w:rPr>
        <w:t>MCAO</w:t>
      </w:r>
      <w:r>
        <w:rPr>
          <w:rStyle w:val="any"/>
          <w:rFonts w:ascii="PMingLiU" w:eastAsia="PMingLiU" w:hAnsi="PMingLiU" w:cs="PMingLiU"/>
          <w:spacing w:val="8"/>
        </w:rPr>
        <w:t>）</w:t>
      </w:r>
      <w:r>
        <w:rPr>
          <w:rStyle w:val="any"/>
          <w:rFonts w:ascii="Times New Roman" w:eastAsia="Times New Roman" w:hAnsi="Times New Roman" w:cs="Times New Roman"/>
          <w:spacing w:val="8"/>
        </w:rPr>
        <w:t>2</w:t>
      </w:r>
      <w:r>
        <w:rPr>
          <w:rStyle w:val="any"/>
          <w:rFonts w:ascii="PMingLiU" w:eastAsia="PMingLiU" w:hAnsi="PMingLiU" w:cs="PMingLiU"/>
          <w:spacing w:val="8"/>
        </w:rPr>
        <w:t>小时。肢体</w:t>
      </w:r>
      <w:r>
        <w:rPr>
          <w:rStyle w:val="any"/>
          <w:rFonts w:ascii="Times New Roman" w:eastAsia="Times New Roman" w:hAnsi="Times New Roman" w:cs="Times New Roman"/>
          <w:spacing w:val="8"/>
        </w:rPr>
        <w:t>RIPC</w:t>
      </w:r>
      <w:r>
        <w:rPr>
          <w:rStyle w:val="any"/>
          <w:rFonts w:ascii="PMingLiU" w:eastAsia="PMingLiU" w:hAnsi="PMingLiU" w:cs="PMingLiU"/>
          <w:spacing w:val="8"/>
        </w:rPr>
        <w:t>由三个循环组成，包括</w:t>
      </w:r>
      <w:r>
        <w:rPr>
          <w:rStyle w:val="any"/>
          <w:rFonts w:ascii="Times New Roman" w:eastAsia="Times New Roman" w:hAnsi="Times New Roman" w:cs="Times New Roman"/>
          <w:spacing w:val="8"/>
        </w:rPr>
        <w:t>5</w:t>
      </w:r>
      <w:r>
        <w:rPr>
          <w:rStyle w:val="any"/>
          <w:rFonts w:ascii="PMingLiU" w:eastAsia="PMingLiU" w:hAnsi="PMingLiU" w:cs="PMingLiU"/>
          <w:spacing w:val="8"/>
        </w:rPr>
        <w:t>分钟的缺血，然后通过止血带应用在右后桡中进行</w:t>
      </w:r>
      <w:r>
        <w:rPr>
          <w:rStyle w:val="any"/>
          <w:rFonts w:ascii="Times New Roman" w:eastAsia="Times New Roman" w:hAnsi="Times New Roman" w:cs="Times New Roman"/>
          <w:spacing w:val="8"/>
        </w:rPr>
        <w:t>5</w:t>
      </w:r>
      <w:r>
        <w:rPr>
          <w:rStyle w:val="any"/>
          <w:rFonts w:ascii="PMingLiU" w:eastAsia="PMingLiU" w:hAnsi="PMingLiU" w:cs="PMingLiU"/>
          <w:spacing w:val="8"/>
        </w:rPr>
        <w:t>分钟的再灌注。再灌注后</w:t>
      </w:r>
      <w:r>
        <w:rPr>
          <w:rStyle w:val="any"/>
          <w:rFonts w:ascii="Times New Roman" w:eastAsia="Times New Roman" w:hAnsi="Times New Roman" w:cs="Times New Roman"/>
          <w:spacing w:val="8"/>
        </w:rPr>
        <w:t>24</w:t>
      </w:r>
      <w:r>
        <w:rPr>
          <w:rStyle w:val="any"/>
          <w:rFonts w:ascii="PMingLiU" w:eastAsia="PMingLiU" w:hAnsi="PMingLiU" w:cs="PMingLiU"/>
          <w:spacing w:val="8"/>
        </w:rPr>
        <w:t>小时评估神经功能不足评分，然后通过扩散加权成像（</w:t>
      </w:r>
      <w:r>
        <w:rPr>
          <w:rStyle w:val="any"/>
          <w:rFonts w:ascii="Times New Roman" w:eastAsia="Times New Roman" w:hAnsi="Times New Roman" w:cs="Times New Roman"/>
          <w:spacing w:val="8"/>
        </w:rPr>
        <w:t>DWI</w:t>
      </w:r>
      <w:r>
        <w:rPr>
          <w:rStyle w:val="any"/>
          <w:rFonts w:ascii="PMingLiU" w:eastAsia="PMingLiU" w:hAnsi="PMingLiU" w:cs="PMingLiU"/>
          <w:spacing w:val="8"/>
        </w:rPr>
        <w:t>）和</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5-</w:t>
      </w:r>
      <w:r>
        <w:rPr>
          <w:rStyle w:val="any"/>
          <w:rFonts w:ascii="PMingLiU" w:eastAsia="PMingLiU" w:hAnsi="PMingLiU" w:cs="PMingLiU"/>
          <w:spacing w:val="8"/>
        </w:rPr>
        <w:t>三苯基</w:t>
      </w:r>
      <w:r>
        <w:rPr>
          <w:rStyle w:val="any"/>
          <w:rFonts w:ascii="Times New Roman" w:eastAsia="Times New Roman" w:hAnsi="Times New Roman" w:cs="Times New Roman"/>
          <w:spacing w:val="8"/>
        </w:rPr>
        <w:t>triphenyltrazolium</w:t>
      </w:r>
      <w:r>
        <w:rPr>
          <w:rStyle w:val="any"/>
          <w:rFonts w:ascii="PMingLiU" w:eastAsia="PMingLiU" w:hAnsi="PMingLiU" w:cs="PMingLiU"/>
          <w:spacing w:val="8"/>
        </w:rPr>
        <w:t>氯化物（</w:t>
      </w:r>
      <w:r>
        <w:rPr>
          <w:rStyle w:val="any"/>
          <w:rFonts w:ascii="Times New Roman" w:eastAsia="Times New Roman" w:hAnsi="Times New Roman" w:cs="Times New Roman"/>
          <w:spacing w:val="8"/>
        </w:rPr>
        <w:t>TTC</w:t>
      </w:r>
      <w:r>
        <w:rPr>
          <w:rStyle w:val="any"/>
          <w:rFonts w:ascii="PMingLiU" w:eastAsia="PMingLiU" w:hAnsi="PMingLiU" w:cs="PMingLiU"/>
          <w:spacing w:val="8"/>
        </w:rPr>
        <w:t>）染色评估梗塞体积。通过血清肿瘤坏死因子</w:t>
      </w:r>
      <w:r>
        <w:rPr>
          <w:rStyle w:val="any"/>
          <w:rFonts w:ascii="Times New Roman" w:eastAsia="Times New Roman" w:hAnsi="Times New Roman" w:cs="Times New Roman"/>
          <w:spacing w:val="8"/>
        </w:rPr>
        <w:t>α</w:t>
      </w:r>
      <w:r>
        <w:rPr>
          <w:rStyle w:val="any"/>
          <w:rFonts w:ascii="PMingLiU" w:eastAsia="PMingLiU" w:hAnsi="PMingLiU" w:cs="PMingLiU"/>
          <w:spacing w:val="8"/>
        </w:rPr>
        <w:t>（</w:t>
      </w:r>
      <w:r>
        <w:rPr>
          <w:rStyle w:val="any"/>
          <w:rFonts w:ascii="Times New Roman" w:eastAsia="Times New Roman" w:hAnsi="Times New Roman" w:cs="Times New Roman"/>
          <w:spacing w:val="8"/>
        </w:rPr>
        <w:t>TNFα</w:t>
      </w:r>
      <w:r>
        <w:rPr>
          <w:rStyle w:val="any"/>
          <w:rFonts w:ascii="PMingLiU" w:eastAsia="PMingLiU" w:hAnsi="PMingLiU" w:cs="PMingLiU"/>
          <w:spacing w:val="8"/>
        </w:rPr>
        <w:t>）评估炎症，并通过丙醛醛（</w:t>
      </w:r>
      <w:r>
        <w:rPr>
          <w:rStyle w:val="any"/>
          <w:rFonts w:ascii="Times New Roman" w:eastAsia="Times New Roman" w:hAnsi="Times New Roman" w:cs="Times New Roman"/>
          <w:spacing w:val="8"/>
        </w:rPr>
        <w:t>MDA</w:t>
      </w:r>
      <w:r>
        <w:rPr>
          <w:rStyle w:val="any"/>
          <w:rFonts w:ascii="PMingLiU" w:eastAsia="PMingLiU" w:hAnsi="PMingLiU" w:cs="PMingLiU"/>
          <w:spacing w:val="8"/>
        </w:rPr>
        <w:t>）和</w:t>
      </w:r>
      <w:r>
        <w:rPr>
          <w:rStyle w:val="any"/>
          <w:rFonts w:ascii="Times New Roman" w:eastAsia="Times New Roman" w:hAnsi="Times New Roman" w:cs="Times New Roman"/>
          <w:spacing w:val="8"/>
        </w:rPr>
        <w:t>4-</w:t>
      </w:r>
      <w:r>
        <w:rPr>
          <w:rStyle w:val="any"/>
          <w:rFonts w:ascii="PMingLiU" w:eastAsia="PMingLiU" w:hAnsi="PMingLiU" w:cs="PMingLiU"/>
          <w:spacing w:val="8"/>
        </w:rPr>
        <w:t>羟基烷烯（</w:t>
      </w:r>
      <w:r>
        <w:rPr>
          <w:rStyle w:val="any"/>
          <w:rFonts w:ascii="Times New Roman" w:eastAsia="Times New Roman" w:hAnsi="Times New Roman" w:cs="Times New Roman"/>
          <w:spacing w:val="8"/>
        </w:rPr>
        <w:t>4-HAD</w:t>
      </w:r>
      <w:r>
        <w:rPr>
          <w:rStyle w:val="any"/>
          <w:rFonts w:ascii="PMingLiU" w:eastAsia="PMingLiU" w:hAnsi="PMingLiU" w:cs="PMingLiU"/>
          <w:spacing w:val="8"/>
        </w:rPr>
        <w:t>），超氧化物歧化酶（</w:t>
      </w:r>
      <w:r>
        <w:rPr>
          <w:rStyle w:val="any"/>
          <w:rFonts w:ascii="Times New Roman" w:eastAsia="Times New Roman" w:hAnsi="Times New Roman" w:cs="Times New Roman"/>
          <w:spacing w:val="8"/>
        </w:rPr>
        <w:t>SOD</w:t>
      </w:r>
      <w:r>
        <w:rPr>
          <w:rStyle w:val="any"/>
          <w:rFonts w:ascii="PMingLiU" w:eastAsia="PMingLiU" w:hAnsi="PMingLiU" w:cs="PMingLiU"/>
          <w:spacing w:val="8"/>
        </w:rPr>
        <w:t>）活性估算</w:t>
      </w:r>
      <w:r>
        <w:rPr>
          <w:rStyle w:val="any"/>
          <w:rFonts w:ascii="Times New Roman" w:eastAsia="Times New Roman" w:hAnsi="Times New Roman" w:cs="Times New Roman"/>
          <w:spacing w:val="8"/>
        </w:rPr>
        <w:t>NO;</w:t>
      </w:r>
      <w:r>
        <w:rPr>
          <w:rStyle w:val="any"/>
          <w:rFonts w:ascii="PMingLiU" w:eastAsia="PMingLiU" w:hAnsi="PMingLiU" w:cs="PMingLiU"/>
          <w:spacing w:val="8"/>
        </w:rPr>
        <w:t>氧化应激。结果：与对照组相比，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，媒介物</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组的动物在神经功能不足评分和脑梗塞体积较小（</w:t>
      </w:r>
      <w:r>
        <w:rPr>
          <w:rStyle w:val="any"/>
          <w:rFonts w:ascii="Times New Roman" w:eastAsia="Times New Roman" w:hAnsi="Times New Roman" w:cs="Times New Roman"/>
          <w:spacing w:val="8"/>
        </w:rPr>
        <w:t>P &lt;0.01</w:t>
      </w:r>
      <w:r>
        <w:rPr>
          <w:rStyle w:val="any"/>
          <w:rFonts w:ascii="PMingLiU" w:eastAsia="PMingLiU" w:hAnsi="PMingLiU" w:cs="PMingLiU"/>
          <w:spacing w:val="8"/>
        </w:rPr>
        <w:t>）中的发展较低（</w:t>
      </w:r>
      <w:r>
        <w:rPr>
          <w:rStyle w:val="any"/>
          <w:rFonts w:ascii="Times New Roman" w:eastAsia="Times New Roman" w:hAnsi="Times New Roman" w:cs="Times New Roman"/>
          <w:spacing w:val="8"/>
        </w:rPr>
        <w:t>P &lt;0.01</w:t>
      </w:r>
      <w:r>
        <w:rPr>
          <w:rStyle w:val="any"/>
          <w:rFonts w:ascii="PMingLiU" w:eastAsia="PMingLiU" w:hAnsi="PMingLiU" w:cs="PMingLiU"/>
          <w:spacing w:val="8"/>
        </w:rPr>
        <w:t>）。与</w:t>
      </w:r>
      <w:r>
        <w:rPr>
          <w:rStyle w:val="any"/>
          <w:rFonts w:ascii="Times New Roman" w:eastAsia="Times New Roman" w:hAnsi="Times New Roman" w:cs="Times New Roman"/>
          <w:spacing w:val="8"/>
        </w:rPr>
        <w:t>RIPC</w:t>
      </w:r>
      <w:r>
        <w:rPr>
          <w:rStyle w:val="any"/>
          <w:rFonts w:ascii="PMingLiU" w:eastAsia="PMingLiU" w:hAnsi="PMingLiU" w:cs="PMingLiU"/>
          <w:spacing w:val="8"/>
        </w:rPr>
        <w:t>相比，</w:t>
      </w:r>
      <w:r>
        <w:rPr>
          <w:rStyle w:val="any"/>
          <w:rFonts w:ascii="Times New Roman" w:eastAsia="Times New Roman" w:hAnsi="Times New Roman" w:cs="Times New Roman"/>
          <w:spacing w:val="8"/>
        </w:rPr>
        <w:t>DPCPX</w:t>
      </w:r>
      <w:r>
        <w:rPr>
          <w:rStyle w:val="any"/>
          <w:rFonts w:ascii="PMingLiU" w:eastAsia="PMingLiU" w:hAnsi="PMingLiU" w:cs="PMingLiU"/>
          <w:spacing w:val="8"/>
        </w:rPr>
        <w:t>，</w:t>
      </w:r>
      <w:r>
        <w:rPr>
          <w:rStyle w:val="any"/>
          <w:rFonts w:ascii="Times New Roman" w:eastAsia="Times New Roman" w:hAnsi="Times New Roman" w:cs="Times New Roman"/>
          <w:spacing w:val="8"/>
        </w:rPr>
        <w:t>DPCPX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组的动物在神经功能不足评分和脑梗塞体积更高的情况下，媒介物</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组更高（</w:t>
      </w:r>
      <w:r>
        <w:rPr>
          <w:rStyle w:val="any"/>
          <w:rFonts w:ascii="Times New Roman" w:eastAsia="Times New Roman" w:hAnsi="Times New Roman" w:cs="Times New Roman"/>
          <w:spacing w:val="8"/>
        </w:rPr>
        <w:t>p &lt;0.01</w:t>
      </w:r>
      <w:r>
        <w:rPr>
          <w:rStyle w:val="any"/>
          <w:rFonts w:ascii="PMingLiU" w:eastAsia="PMingLiU" w:hAnsi="PMingLiU" w:cs="PMingLiU"/>
          <w:spacing w:val="8"/>
        </w:rPr>
        <w:t>）。</w:t>
      </w:r>
      <w:r>
        <w:rPr>
          <w:rStyle w:val="any"/>
          <w:rFonts w:ascii="Times New Roman" w:eastAsia="Times New Roman" w:hAnsi="Times New Roman" w:cs="Times New Roman"/>
          <w:spacing w:val="8"/>
        </w:rPr>
        <w:t>DPCPX</w:t>
      </w:r>
      <w:r>
        <w:rPr>
          <w:rStyle w:val="any"/>
          <w:rFonts w:ascii="PMingLiU" w:eastAsia="PMingLiU" w:hAnsi="PMingLiU" w:cs="PMingLiU"/>
          <w:spacing w:val="8"/>
        </w:rPr>
        <w:t>废除了</w:t>
      </w:r>
      <w:r>
        <w:rPr>
          <w:rStyle w:val="any"/>
          <w:rFonts w:ascii="Times New Roman" w:eastAsia="Times New Roman" w:hAnsi="Times New Roman" w:cs="Times New Roman"/>
          <w:spacing w:val="8"/>
        </w:rPr>
        <w:t>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的保护作用。</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引起了脑</w:t>
      </w:r>
      <w:r>
        <w:rPr>
          <w:rStyle w:val="any"/>
          <w:rFonts w:ascii="Times New Roman" w:eastAsia="Times New Roman" w:hAnsi="Times New Roman" w:cs="Times New Roman"/>
          <w:spacing w:val="8"/>
        </w:rPr>
        <w:t>MNSOD</w:t>
      </w:r>
      <w:r>
        <w:rPr>
          <w:rStyle w:val="any"/>
          <w:rFonts w:ascii="PMingLiU" w:eastAsia="PMingLiU" w:hAnsi="PMingLiU" w:cs="PMingLiU"/>
          <w:spacing w:val="8"/>
        </w:rPr>
        <w:t>（锰</w:t>
      </w:r>
      <w:r>
        <w:rPr>
          <w:rStyle w:val="any"/>
          <w:rFonts w:ascii="Times New Roman" w:eastAsia="Times New Roman" w:hAnsi="Times New Roman" w:cs="Times New Roman"/>
          <w:spacing w:val="8"/>
        </w:rPr>
        <w:t>SOD</w:t>
      </w:r>
      <w:r>
        <w:rPr>
          <w:rStyle w:val="any"/>
          <w:rFonts w:ascii="PMingLiU" w:eastAsia="PMingLiU" w:hAnsi="PMingLiU" w:cs="PMingLiU"/>
          <w:spacing w:val="8"/>
        </w:rPr>
        <w:t>）活性的显著增加，而没有产生，并且通过</w:t>
      </w:r>
      <w:r>
        <w:rPr>
          <w:rStyle w:val="any"/>
          <w:rFonts w:ascii="Times New Roman" w:eastAsia="Times New Roman" w:hAnsi="Times New Roman" w:cs="Times New Roman"/>
          <w:spacing w:val="8"/>
        </w:rPr>
        <w:t>DPCPX</w:t>
      </w:r>
      <w:r>
        <w:rPr>
          <w:rStyle w:val="any"/>
          <w:rFonts w:ascii="PMingLiU" w:eastAsia="PMingLiU" w:hAnsi="PMingLiU" w:cs="PMingLiU"/>
          <w:spacing w:val="8"/>
        </w:rPr>
        <w:t>预处理消除了这种活性。与</w:t>
      </w:r>
      <w:r>
        <w:rPr>
          <w:rStyle w:val="any"/>
          <w:rFonts w:ascii="Times New Roman" w:eastAsia="Times New Roman" w:hAnsi="Times New Roman" w:cs="Times New Roman"/>
          <w:spacing w:val="8"/>
        </w:rPr>
        <w:t>MCAO</w:t>
      </w:r>
      <w:r>
        <w:rPr>
          <w:rStyle w:val="any"/>
          <w:rFonts w:ascii="PMingLiU" w:eastAsia="PMingLiU" w:hAnsi="PMingLiU" w:cs="PMingLiU"/>
          <w:spacing w:val="8"/>
        </w:rPr>
        <w:t>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在</w:t>
      </w:r>
      <w:r>
        <w:rPr>
          <w:rStyle w:val="any"/>
          <w:rFonts w:ascii="Times New Roman" w:eastAsia="Times New Roman" w:hAnsi="Times New Roman" w:cs="Times New Roman"/>
          <w:spacing w:val="8"/>
        </w:rPr>
        <w:t>GSH</w:t>
      </w:r>
      <w:r>
        <w:rPr>
          <w:rStyle w:val="any"/>
          <w:rFonts w:ascii="PMingLiU" w:eastAsia="PMingLiU" w:hAnsi="PMingLiU" w:cs="PMingLiU"/>
          <w:spacing w:val="8"/>
        </w:rPr>
        <w:t>和</w:t>
      </w:r>
      <w:r>
        <w:rPr>
          <w:rStyle w:val="any"/>
          <w:rFonts w:ascii="Times New Roman" w:eastAsia="Times New Roman" w:hAnsi="Times New Roman" w:cs="Times New Roman"/>
          <w:spacing w:val="8"/>
        </w:rPr>
        <w:t>MDA + 4HDA</w:t>
      </w:r>
      <w:r>
        <w:rPr>
          <w:rStyle w:val="any"/>
          <w:rFonts w:ascii="PMingLiU" w:eastAsia="PMingLiU" w:hAnsi="PMingLiU" w:cs="PMingLiU"/>
          <w:spacing w:val="8"/>
        </w:rPr>
        <w:t>浓度中诱导了显着降低（</w:t>
      </w:r>
      <w:r>
        <w:rPr>
          <w:rStyle w:val="any"/>
          <w:rFonts w:ascii="Times New Roman" w:eastAsia="Times New Roman" w:hAnsi="Times New Roman" w:cs="Times New Roman"/>
          <w:spacing w:val="8"/>
        </w:rPr>
        <w:t>P &lt;0.05</w:t>
      </w:r>
      <w:r>
        <w:rPr>
          <w:rStyle w:val="any"/>
          <w:rFonts w:ascii="PMingLiU" w:eastAsia="PMingLiU" w:hAnsi="PMingLiU" w:cs="PMingLiU"/>
          <w:spacing w:val="8"/>
        </w:rPr>
        <w:t>），并且在两个隔室（血清和组织）中</w:t>
      </w:r>
      <w:r>
        <w:rPr>
          <w:rStyle w:val="any"/>
          <w:rFonts w:ascii="Times New Roman" w:eastAsia="Times New Roman" w:hAnsi="Times New Roman" w:cs="Times New Roman"/>
          <w:spacing w:val="8"/>
        </w:rPr>
        <w:t>GSSG</w:t>
      </w:r>
      <w:r>
        <w:rPr>
          <w:rStyle w:val="any"/>
          <w:rFonts w:ascii="PMingLiU" w:eastAsia="PMingLiU" w:hAnsi="PMingLiU" w:cs="PMingLiU"/>
          <w:spacing w:val="8"/>
        </w:rPr>
        <w:t>浓度的积累均显着降低。结论：本研究表明，非侵入性止血带诱导的肢体</w:t>
      </w:r>
      <w:r>
        <w:rPr>
          <w:rStyle w:val="any"/>
          <w:rFonts w:ascii="Times New Roman" w:eastAsia="Times New Roman" w:hAnsi="Times New Roman" w:cs="Times New Roman"/>
          <w:spacing w:val="8"/>
        </w:rPr>
        <w:t>RIPC</w:t>
      </w:r>
      <w:r>
        <w:rPr>
          <w:rStyle w:val="any"/>
          <w:rFonts w:ascii="PMingLiU" w:eastAsia="PMingLiU" w:hAnsi="PMingLiU" w:cs="PMingLiU"/>
          <w:spacing w:val="8"/>
        </w:rPr>
        <w:t>降低了大鼠的脑缺血性损伤，而神经保护的作用可能取决于腺苷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受体的激活。</w:t>
      </w:r>
      <w:r>
        <w:rPr>
          <w:rStyle w:val="any"/>
          <w:rFonts w:ascii="Times New Roman" w:eastAsia="Times New Roman" w:hAnsi="Times New Roman" w:cs="Times New Roman"/>
          <w:spacing w:val="8"/>
        </w:rPr>
        <w:t>CCPA</w:t>
      </w:r>
      <w:r>
        <w:rPr>
          <w:rStyle w:val="any"/>
          <w:rFonts w:ascii="PMingLiU" w:eastAsia="PMingLiU" w:hAnsi="PMingLiU" w:cs="PMingLiU"/>
          <w:spacing w:val="8"/>
        </w:rPr>
        <w:t>预处理可以诱导延迟对脑缺血</w:t>
      </w:r>
      <w:r>
        <w:rPr>
          <w:rStyle w:val="any"/>
          <w:rFonts w:ascii="Times New Roman" w:eastAsia="Times New Roman" w:hAnsi="Times New Roman" w:cs="Times New Roman"/>
          <w:spacing w:val="8"/>
        </w:rPr>
        <w:t>/</w:t>
      </w:r>
      <w:r>
        <w:rPr>
          <w:rStyle w:val="any"/>
          <w:rFonts w:ascii="PMingLiU" w:eastAsia="PMingLiU" w:hAnsi="PMingLiU" w:cs="PMingLiU"/>
          <w:spacing w:val="8"/>
        </w:rPr>
        <w:t>再灌注损伤的缺血性耐受性。这些保护作用与氧化应激，炎症和内源性抗氧化剂保存的减少有关。</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2599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83743" name=""/>
                    <pic:cNvPicPr>
                      <a:picLocks noChangeAspect="1"/>
                    </pic:cNvPicPr>
                  </pic:nvPicPr>
                  <pic:blipFill>
                    <a:blip xmlns:r="http://schemas.openxmlformats.org/officeDocument/2006/relationships" r:embed="rId8"/>
                    <a:stretch>
                      <a:fillRect/>
                    </a:stretch>
                  </pic:blipFill>
                  <pic:spPr>
                    <a:xfrm>
                      <a:off x="0" y="0"/>
                      <a:ext cx="5486400" cy="472599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陕西省社会发展研究项目</w:t>
      </w:r>
      <w:r>
        <w:rPr>
          <w:rStyle w:val="any"/>
          <w:rFonts w:ascii="Times New Roman" w:eastAsia="Times New Roman" w:hAnsi="Times New Roman" w:cs="Times New Roman"/>
          <w:spacing w:val="8"/>
        </w:rPr>
        <w:t>[2010K15-01-02]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Lize Xiong</w:t>
      </w:r>
      <w:r>
        <w:rPr>
          <w:rStyle w:val="any"/>
          <w:rFonts w:ascii="PMingLiU" w:eastAsia="PMingLiU" w:hAnsi="PMingLiU" w:cs="PMingLiU"/>
          <w:spacing w:val="8"/>
        </w:rPr>
        <w:t>（音译：熊利则），疑为</w:t>
      </w:r>
      <w:r>
        <w:rPr>
          <w:rStyle w:val="any"/>
          <w:rFonts w:ascii="PMingLiU" w:eastAsia="PMingLiU" w:hAnsi="PMingLiU" w:cs="PMingLiU"/>
          <w:spacing w:val="8"/>
        </w:rPr>
        <w:t>上海市第四人民医院院长，教授、主任医师，博士生导师，同济大学医学院脑功能与人工智能研究所所长。原第四军医大学西京医院院长、麻醉与围术期医学科教授、主任医师，博士生导师，国家自然科学基金杰出青年基金获得者，长江学者计划特聘教授，</w:t>
      </w:r>
      <w:r>
        <w:rPr>
          <w:rStyle w:val="any"/>
          <w:rFonts w:ascii="Times New Roman" w:eastAsia="Times New Roman" w:hAnsi="Times New Roman" w:cs="Times New Roman"/>
          <w:spacing w:val="8"/>
        </w:rPr>
        <w:t>973</w:t>
      </w:r>
      <w:r>
        <w:rPr>
          <w:rStyle w:val="any"/>
          <w:rFonts w:ascii="PMingLiU" w:eastAsia="PMingLiU" w:hAnsi="PMingLiU" w:cs="PMingLiU"/>
          <w:spacing w:val="8"/>
        </w:rPr>
        <w:t>项目首席科学家，中华麻醉学会前任主任委员，全军麻醉学研究所所长，原总后勤部科技金星，教育部创新团队和科技部重点领域创新团队学术带头人。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https://pubpeer.com/publications/D10897F3E3C83DC9FDA0E73B01A2CE#0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https://www.sciencedirect.com/science/article/abs/pii/S0006899312006889?via%3Dihub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630&amp;idx=5&amp;sn=0876d1340e6d97af2160a21fc5519ac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